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E6116D" w:rsidRPr="00E6116D" w:rsidTr="00E6116D">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E6116D" w:rsidRPr="00E6116D">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6116D" w:rsidRPr="00E6116D" w:rsidRDefault="00E6116D" w:rsidP="00E6116D">
                  <w:pPr>
                    <w:spacing w:after="0" w:line="240" w:lineRule="atLeast"/>
                    <w:rPr>
                      <w:rFonts w:eastAsia="Times New Roman"/>
                      <w:lang w:eastAsia="tr-TR"/>
                    </w:rPr>
                  </w:pPr>
                  <w:r w:rsidRPr="00E6116D">
                    <w:rPr>
                      <w:rFonts w:ascii="Arial" w:eastAsia="Times New Roman" w:hAnsi="Arial" w:cs="Arial"/>
                      <w:sz w:val="16"/>
                      <w:szCs w:val="16"/>
                      <w:lang w:eastAsia="tr-TR"/>
                    </w:rPr>
                    <w:t>22 Nisan 2017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E6116D" w:rsidRPr="00E6116D" w:rsidRDefault="00E6116D" w:rsidP="00E6116D">
                  <w:pPr>
                    <w:spacing w:after="0" w:line="240" w:lineRule="atLeast"/>
                    <w:jc w:val="center"/>
                    <w:rPr>
                      <w:rFonts w:eastAsia="Times New Roman"/>
                      <w:lang w:eastAsia="tr-TR"/>
                    </w:rPr>
                  </w:pPr>
                  <w:r w:rsidRPr="00E6116D">
                    <w:rPr>
                      <w:rFonts w:ascii="Palatino Linotype" w:eastAsia="Times New Roman" w:hAnsi="Palatino Linotype"/>
                      <w:b/>
                      <w:bCs/>
                      <w:color w:val="800080"/>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E6116D" w:rsidRPr="00E6116D" w:rsidRDefault="00E6116D" w:rsidP="00E6116D">
                  <w:pPr>
                    <w:spacing w:before="100" w:beforeAutospacing="1" w:after="100" w:afterAutospacing="1" w:line="240" w:lineRule="auto"/>
                    <w:jc w:val="right"/>
                    <w:rPr>
                      <w:rFonts w:eastAsia="Times New Roman"/>
                      <w:lang w:eastAsia="tr-TR"/>
                    </w:rPr>
                  </w:pPr>
                  <w:r w:rsidRPr="00E6116D">
                    <w:rPr>
                      <w:rFonts w:ascii="Arial" w:eastAsia="Times New Roman" w:hAnsi="Arial" w:cs="Arial"/>
                      <w:sz w:val="16"/>
                      <w:szCs w:val="16"/>
                      <w:lang w:eastAsia="tr-TR"/>
                    </w:rPr>
                    <w:t>Sayı : 30046</w:t>
                  </w:r>
                </w:p>
              </w:tc>
            </w:tr>
            <w:tr w:rsidR="00E6116D" w:rsidRPr="00E6116D">
              <w:trPr>
                <w:trHeight w:val="480"/>
                <w:jc w:val="center"/>
              </w:trPr>
              <w:tc>
                <w:tcPr>
                  <w:tcW w:w="8789" w:type="dxa"/>
                  <w:gridSpan w:val="3"/>
                  <w:tcMar>
                    <w:top w:w="0" w:type="dxa"/>
                    <w:left w:w="108" w:type="dxa"/>
                    <w:bottom w:w="0" w:type="dxa"/>
                    <w:right w:w="108" w:type="dxa"/>
                  </w:tcMar>
                  <w:vAlign w:val="center"/>
                  <w:hideMark/>
                </w:tcPr>
                <w:p w:rsidR="00E6116D" w:rsidRPr="00E6116D" w:rsidRDefault="00E6116D" w:rsidP="00E6116D">
                  <w:pPr>
                    <w:spacing w:before="100" w:beforeAutospacing="1" w:after="100" w:afterAutospacing="1" w:line="240" w:lineRule="auto"/>
                    <w:jc w:val="center"/>
                    <w:rPr>
                      <w:rFonts w:eastAsia="Times New Roman"/>
                      <w:lang w:eastAsia="tr-TR"/>
                    </w:rPr>
                  </w:pPr>
                  <w:r w:rsidRPr="00E6116D">
                    <w:rPr>
                      <w:rFonts w:ascii="Arial" w:eastAsia="Times New Roman" w:hAnsi="Arial" w:cs="Arial"/>
                      <w:b/>
                      <w:bCs/>
                      <w:color w:val="000080"/>
                      <w:sz w:val="18"/>
                      <w:szCs w:val="18"/>
                      <w:lang w:eastAsia="tr-TR"/>
                    </w:rPr>
                    <w:t>YÖNETMELİK</w:t>
                  </w:r>
                </w:p>
              </w:tc>
            </w:tr>
            <w:tr w:rsidR="00E6116D" w:rsidRPr="00E6116D">
              <w:trPr>
                <w:trHeight w:val="480"/>
                <w:jc w:val="center"/>
              </w:trPr>
              <w:tc>
                <w:tcPr>
                  <w:tcW w:w="8789" w:type="dxa"/>
                  <w:gridSpan w:val="3"/>
                  <w:tcMar>
                    <w:top w:w="0" w:type="dxa"/>
                    <w:left w:w="108" w:type="dxa"/>
                    <w:bottom w:w="0" w:type="dxa"/>
                    <w:right w:w="108" w:type="dxa"/>
                  </w:tcMar>
                  <w:vAlign w:val="center"/>
                  <w:hideMark/>
                </w:tcPr>
                <w:p w:rsidR="00E6116D" w:rsidRPr="00E6116D" w:rsidRDefault="00E6116D" w:rsidP="00E6116D">
                  <w:pPr>
                    <w:spacing w:after="0" w:line="240" w:lineRule="atLeast"/>
                    <w:ind w:firstLine="566"/>
                    <w:jc w:val="both"/>
                    <w:rPr>
                      <w:rFonts w:eastAsia="Times New Roman"/>
                      <w:sz w:val="22"/>
                      <w:szCs w:val="22"/>
                      <w:u w:val="single"/>
                      <w:lang w:eastAsia="tr-TR"/>
                    </w:rPr>
                  </w:pPr>
                  <w:r w:rsidRPr="00E6116D">
                    <w:rPr>
                      <w:rFonts w:eastAsia="Times New Roman"/>
                      <w:sz w:val="18"/>
                      <w:szCs w:val="18"/>
                      <w:u w:val="single"/>
                      <w:lang w:eastAsia="tr-TR"/>
                    </w:rPr>
                    <w:t>Yükseköğretim Kurulu Başkanlığından:</w:t>
                  </w:r>
                </w:p>
                <w:p w:rsidR="00E6116D" w:rsidRPr="00E6116D" w:rsidRDefault="00E6116D" w:rsidP="00E6116D">
                  <w:pPr>
                    <w:spacing w:before="56" w:after="0" w:line="240" w:lineRule="atLeast"/>
                    <w:jc w:val="center"/>
                    <w:rPr>
                      <w:rFonts w:eastAsia="Times New Roman"/>
                      <w:b/>
                      <w:bCs/>
                      <w:sz w:val="19"/>
                      <w:szCs w:val="19"/>
                      <w:lang w:eastAsia="tr-TR"/>
                    </w:rPr>
                  </w:pPr>
                  <w:r w:rsidRPr="00E6116D">
                    <w:rPr>
                      <w:rFonts w:eastAsia="Times New Roman"/>
                      <w:b/>
                      <w:bCs/>
                      <w:sz w:val="18"/>
                      <w:szCs w:val="18"/>
                      <w:lang w:eastAsia="tr-TR"/>
                    </w:rPr>
                    <w:t>DOÇENTLİK SINAV YÖNETMELİĞİNDE DEĞİŞİKLİK</w:t>
                  </w:r>
                </w:p>
                <w:p w:rsidR="00E6116D" w:rsidRPr="00E6116D" w:rsidRDefault="00E6116D" w:rsidP="00E6116D">
                  <w:pPr>
                    <w:spacing w:after="170" w:line="240" w:lineRule="atLeast"/>
                    <w:jc w:val="center"/>
                    <w:rPr>
                      <w:rFonts w:eastAsia="Times New Roman"/>
                      <w:b/>
                      <w:bCs/>
                      <w:sz w:val="19"/>
                      <w:szCs w:val="19"/>
                      <w:lang w:eastAsia="tr-TR"/>
                    </w:rPr>
                  </w:pPr>
                  <w:r w:rsidRPr="00E6116D">
                    <w:rPr>
                      <w:rFonts w:eastAsia="Times New Roman"/>
                      <w:b/>
                      <w:bCs/>
                      <w:sz w:val="18"/>
                      <w:szCs w:val="18"/>
                      <w:lang w:eastAsia="tr-TR"/>
                    </w:rPr>
                    <w:t>YAPILMASINA DAİR YÖNETMELİK</w:t>
                  </w:r>
                </w:p>
                <w:p w:rsidR="00E6116D" w:rsidRPr="00E6116D" w:rsidRDefault="00E6116D" w:rsidP="00E6116D">
                  <w:pPr>
                    <w:spacing w:after="0" w:line="240" w:lineRule="atLeast"/>
                    <w:ind w:firstLine="566"/>
                    <w:jc w:val="both"/>
                    <w:rPr>
                      <w:rFonts w:eastAsia="Times New Roman"/>
                      <w:sz w:val="19"/>
                      <w:szCs w:val="19"/>
                      <w:lang w:eastAsia="tr-TR"/>
                    </w:rPr>
                  </w:pPr>
                  <w:r w:rsidRPr="00E6116D">
                    <w:rPr>
                      <w:rFonts w:eastAsia="Times New Roman"/>
                      <w:b/>
                      <w:bCs/>
                      <w:sz w:val="18"/>
                      <w:szCs w:val="18"/>
                      <w:lang w:eastAsia="tr-TR"/>
                    </w:rPr>
                    <w:t>MADDE 1 – </w:t>
                  </w:r>
                  <w:r w:rsidRPr="00E6116D">
                    <w:rPr>
                      <w:rFonts w:eastAsia="Times New Roman"/>
                      <w:sz w:val="18"/>
                      <w:szCs w:val="18"/>
                      <w:lang w:eastAsia="tr-TR"/>
                    </w:rPr>
                    <w:t>7/2/2015 tarihli ve 29260 sayılı Resmî Gazete’de yayımlanan Doçentlik Sınav Yönetmeliğinin 6 ncı maddesinin altıncı fıkrasının son cümlesi ve yirminci fıkrasının ilk cümlesi aşağıdaki şekilde değiştirilmiştir. </w:t>
                  </w:r>
                </w:p>
                <w:p w:rsidR="00E6116D" w:rsidRPr="00E6116D" w:rsidRDefault="00E6116D" w:rsidP="00E6116D">
                  <w:pPr>
                    <w:spacing w:after="0" w:line="240" w:lineRule="atLeast"/>
                    <w:jc w:val="both"/>
                    <w:rPr>
                      <w:rFonts w:eastAsia="Times New Roman"/>
                      <w:sz w:val="19"/>
                      <w:szCs w:val="19"/>
                      <w:lang w:eastAsia="tr-TR"/>
                    </w:rPr>
                  </w:pPr>
                  <w:r w:rsidRPr="00E6116D">
                    <w:rPr>
                      <w:rFonts w:eastAsia="Times New Roman"/>
                      <w:sz w:val="18"/>
                      <w:szCs w:val="18"/>
                      <w:lang w:eastAsia="tr-TR"/>
                    </w:rPr>
                    <w:t>“Başarısız bulunan aday, jüri tarafından eksik bulunan eser ve faaliyetleri tamamlamak kaydıyla müracaat dönemi esas alınmak suretiyle en erken izleyen üçüncü dönemde yeniden başvurabilir.”</w:t>
                  </w:r>
                </w:p>
                <w:p w:rsidR="00E6116D" w:rsidRPr="00E6116D" w:rsidRDefault="00E6116D" w:rsidP="00E6116D">
                  <w:pPr>
                    <w:spacing w:after="0" w:line="240" w:lineRule="atLeast"/>
                    <w:jc w:val="both"/>
                    <w:rPr>
                      <w:rFonts w:eastAsia="Times New Roman"/>
                      <w:sz w:val="19"/>
                      <w:szCs w:val="19"/>
                      <w:lang w:eastAsia="tr-TR"/>
                    </w:rPr>
                  </w:pPr>
                  <w:r w:rsidRPr="00E6116D">
                    <w:rPr>
                      <w:rFonts w:eastAsia="Times New Roman"/>
                      <w:sz w:val="18"/>
                      <w:szCs w:val="18"/>
                      <w:lang w:eastAsia="tr-TR"/>
                    </w:rPr>
                    <w:t>“Eser incelemesinde başarılı olmasına rağmen sözlü sınavda başarısız olan veya başarısız sayılan aday, eser aşamasından sınava müracaat dönemi esas alınmak suretiyle en erken izleyen üçüncü dönemde, sözlü sınavı aşamasında birden fazla başarısız olan veya başarısız sayılan aday ise sözlü sınava son müracaat dönemi esas alınmak suretiyle en erken izleyen ikinci dönemde yeniden başvurabilir.”</w:t>
                  </w:r>
                </w:p>
                <w:p w:rsidR="00E6116D" w:rsidRPr="00E6116D" w:rsidRDefault="00E6116D" w:rsidP="00E6116D">
                  <w:pPr>
                    <w:spacing w:after="0" w:line="240" w:lineRule="atLeast"/>
                    <w:ind w:firstLine="566"/>
                    <w:jc w:val="both"/>
                    <w:rPr>
                      <w:rFonts w:eastAsia="Times New Roman"/>
                      <w:sz w:val="19"/>
                      <w:szCs w:val="19"/>
                      <w:lang w:eastAsia="tr-TR"/>
                    </w:rPr>
                  </w:pPr>
                  <w:r w:rsidRPr="00E6116D">
                    <w:rPr>
                      <w:rFonts w:eastAsia="Times New Roman"/>
                      <w:b/>
                      <w:bCs/>
                      <w:sz w:val="18"/>
                      <w:szCs w:val="18"/>
                      <w:lang w:eastAsia="tr-TR"/>
                    </w:rPr>
                    <w:t>MADDE 2 –</w:t>
                  </w:r>
                  <w:r w:rsidRPr="00E6116D">
                    <w:rPr>
                      <w:rFonts w:eastAsia="Times New Roman"/>
                      <w:sz w:val="18"/>
                      <w:szCs w:val="18"/>
                      <w:lang w:eastAsia="tr-TR"/>
                    </w:rPr>
                    <w:t> Aynı Yönetmeliğin geçici 2 nci maddesi aşağıdaki şekilde değiştirilmiştir. </w:t>
                  </w:r>
                </w:p>
                <w:p w:rsidR="00E6116D" w:rsidRPr="00E6116D" w:rsidRDefault="00E6116D" w:rsidP="00E6116D">
                  <w:pPr>
                    <w:spacing w:after="0" w:line="240" w:lineRule="atLeast"/>
                    <w:ind w:firstLine="566"/>
                    <w:jc w:val="both"/>
                    <w:rPr>
                      <w:rFonts w:eastAsia="Times New Roman"/>
                      <w:sz w:val="19"/>
                      <w:szCs w:val="19"/>
                      <w:lang w:eastAsia="tr-TR"/>
                    </w:rPr>
                  </w:pPr>
                  <w:r w:rsidRPr="00E6116D">
                    <w:rPr>
                      <w:rFonts w:eastAsia="Times New Roman"/>
                      <w:sz w:val="18"/>
                      <w:szCs w:val="18"/>
                      <w:lang w:eastAsia="tr-TR"/>
                    </w:rPr>
                    <w:t>“</w:t>
                  </w:r>
                  <w:r w:rsidRPr="00E6116D">
                    <w:rPr>
                      <w:rFonts w:eastAsia="Times New Roman"/>
                      <w:b/>
                      <w:bCs/>
                      <w:sz w:val="18"/>
                      <w:szCs w:val="18"/>
                      <w:lang w:eastAsia="tr-TR"/>
                    </w:rPr>
                    <w:t>GEÇİCİ MADDE 2 –</w:t>
                  </w:r>
                  <w:r w:rsidRPr="00E6116D">
                    <w:rPr>
                      <w:rFonts w:eastAsia="Times New Roman"/>
                      <w:sz w:val="18"/>
                      <w:szCs w:val="18"/>
                      <w:lang w:eastAsia="tr-TR"/>
                    </w:rPr>
                    <w:t> (1) Ekim 2015 ve daha önceki dönemlerde doçentlik başvurusunda bulunup eser incelemesinde başarılı bulunmasına rağmen sözlü sınavda başarısız olan adaylar, bu Yönetmeliğin 6 ncı maddesinin yirminci fıkrasındaki süreler göz önünde bulundurulmaksızın izleyen dönemlerde sözlü sınav için yeniden başvuruda bulunabilirler.”</w:t>
                  </w:r>
                </w:p>
                <w:p w:rsidR="00E6116D" w:rsidRPr="00E6116D" w:rsidRDefault="00E6116D" w:rsidP="00E6116D">
                  <w:pPr>
                    <w:spacing w:after="0" w:line="240" w:lineRule="atLeast"/>
                    <w:ind w:firstLine="566"/>
                    <w:jc w:val="both"/>
                    <w:rPr>
                      <w:rFonts w:eastAsia="Times New Roman"/>
                      <w:sz w:val="19"/>
                      <w:szCs w:val="19"/>
                      <w:lang w:eastAsia="tr-TR"/>
                    </w:rPr>
                  </w:pPr>
                  <w:r w:rsidRPr="00E6116D">
                    <w:rPr>
                      <w:rFonts w:eastAsia="Times New Roman"/>
                      <w:b/>
                      <w:bCs/>
                      <w:sz w:val="18"/>
                      <w:szCs w:val="18"/>
                      <w:lang w:eastAsia="tr-TR"/>
                    </w:rPr>
                    <w:t>MADDE 3 –</w:t>
                  </w:r>
                  <w:r w:rsidRPr="00E6116D">
                    <w:rPr>
                      <w:rFonts w:eastAsia="Times New Roman"/>
                      <w:sz w:val="18"/>
                      <w:szCs w:val="18"/>
                      <w:lang w:eastAsia="tr-TR"/>
                    </w:rPr>
                    <w:t> Bu Yönetmelik yayımı tarihinde yürürlüğe girer.</w:t>
                  </w:r>
                </w:p>
                <w:p w:rsidR="00E6116D" w:rsidRPr="00E6116D" w:rsidRDefault="00E6116D" w:rsidP="00E6116D">
                  <w:pPr>
                    <w:spacing w:line="240" w:lineRule="atLeast"/>
                    <w:ind w:firstLine="567"/>
                    <w:jc w:val="both"/>
                    <w:rPr>
                      <w:rFonts w:eastAsia="Times New Roman"/>
                      <w:sz w:val="19"/>
                      <w:szCs w:val="19"/>
                      <w:lang w:eastAsia="tr-TR"/>
                    </w:rPr>
                  </w:pPr>
                  <w:r w:rsidRPr="00E6116D">
                    <w:rPr>
                      <w:rFonts w:eastAsia="Times New Roman"/>
                      <w:b/>
                      <w:bCs/>
                      <w:sz w:val="18"/>
                      <w:szCs w:val="18"/>
                      <w:lang w:eastAsia="tr-TR"/>
                    </w:rPr>
                    <w:t>MADDE 4 –</w:t>
                  </w:r>
                  <w:r w:rsidRPr="00E6116D">
                    <w:rPr>
                      <w:rFonts w:eastAsia="Times New Roman"/>
                      <w:sz w:val="18"/>
                      <w:szCs w:val="18"/>
                      <w:lang w:eastAsia="tr-TR"/>
                    </w:rPr>
                    <w:t> Bu Yönetmelik hükümlerini Yükseköğretim Kurulu Başkanı yürütür.</w:t>
                  </w:r>
                </w:p>
                <w:tbl>
                  <w:tblPr>
                    <w:tblW w:w="8505" w:type="dxa"/>
                    <w:jc w:val="center"/>
                    <w:tblCellMar>
                      <w:left w:w="0" w:type="dxa"/>
                      <w:right w:w="0" w:type="dxa"/>
                    </w:tblCellMar>
                    <w:tblLook w:val="04A0" w:firstRow="1" w:lastRow="0" w:firstColumn="1" w:lastColumn="0" w:noHBand="0" w:noVBand="1"/>
                  </w:tblPr>
                  <w:tblGrid>
                    <w:gridCol w:w="437"/>
                    <w:gridCol w:w="3817"/>
                    <w:gridCol w:w="4251"/>
                  </w:tblGrid>
                  <w:tr w:rsidR="00E6116D" w:rsidRPr="00E6116D">
                    <w:trPr>
                      <w:jc w:val="center"/>
                    </w:trPr>
                    <w:tc>
                      <w:tcPr>
                        <w:tcW w:w="8505" w:type="dxa"/>
                        <w:gridSpan w:val="3"/>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Yönetmeliğin Yayımlandığı Resmî Gazete'nin</w:t>
                        </w:r>
                      </w:p>
                    </w:tc>
                  </w:tr>
                  <w:tr w:rsidR="00E6116D" w:rsidRPr="00E6116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Sayısı</w:t>
                        </w:r>
                      </w:p>
                    </w:tc>
                  </w:tr>
                  <w:tr w:rsidR="00E6116D" w:rsidRPr="00E6116D">
                    <w:trPr>
                      <w:jc w:val="center"/>
                    </w:trPr>
                    <w:tc>
                      <w:tcPr>
                        <w:tcW w:w="425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uto"/>
                          <w:jc w:val="center"/>
                          <w:rPr>
                            <w:rFonts w:eastAsia="Times New Roman"/>
                            <w:lang w:eastAsia="tr-TR"/>
                          </w:rPr>
                        </w:pPr>
                        <w:r w:rsidRPr="00E6116D">
                          <w:rPr>
                            <w:rFonts w:eastAsia="Times New Roman"/>
                            <w:sz w:val="18"/>
                            <w:szCs w:val="18"/>
                            <w:lang w:eastAsia="tr-TR"/>
                          </w:rPr>
                          <w:t>7/2/2015</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uto"/>
                          <w:jc w:val="center"/>
                          <w:rPr>
                            <w:rFonts w:eastAsia="Times New Roman"/>
                            <w:lang w:eastAsia="tr-TR"/>
                          </w:rPr>
                        </w:pPr>
                        <w:r w:rsidRPr="00E6116D">
                          <w:rPr>
                            <w:rFonts w:eastAsia="Times New Roman"/>
                            <w:sz w:val="18"/>
                            <w:szCs w:val="18"/>
                            <w:lang w:eastAsia="tr-TR"/>
                          </w:rPr>
                          <w:t>29260</w:t>
                        </w:r>
                      </w:p>
                    </w:tc>
                  </w:tr>
                  <w:tr w:rsidR="00E6116D" w:rsidRPr="00E6116D">
                    <w:trPr>
                      <w:jc w:val="center"/>
                    </w:trPr>
                    <w:tc>
                      <w:tcPr>
                        <w:tcW w:w="8505" w:type="dxa"/>
                        <w:gridSpan w:val="3"/>
                        <w:tcBorders>
                          <w:top w:val="nil"/>
                          <w:left w:val="single" w:sz="8" w:space="0" w:color="auto"/>
                          <w:bottom w:val="nil"/>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Yönetmelikte Değişiklik Yapan Yönetmeliklerin Yayımlandığı Resmî Gazete'nin</w:t>
                        </w:r>
                      </w:p>
                    </w:tc>
                  </w:tr>
                  <w:tr w:rsidR="00E6116D" w:rsidRPr="00E6116D">
                    <w:trPr>
                      <w:jc w:val="center"/>
                    </w:trPr>
                    <w:tc>
                      <w:tcPr>
                        <w:tcW w:w="4254" w:type="dxa"/>
                        <w:gridSpan w:val="2"/>
                        <w:tcBorders>
                          <w:top w:val="nil"/>
                          <w:left w:val="single" w:sz="8" w:space="0" w:color="auto"/>
                          <w:bottom w:val="single" w:sz="8" w:space="0" w:color="auto"/>
                          <w:right w:val="nil"/>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Tarihi</w:t>
                        </w:r>
                      </w:p>
                    </w:tc>
                    <w:tc>
                      <w:tcPr>
                        <w:tcW w:w="4251" w:type="dxa"/>
                        <w:tcBorders>
                          <w:top w:val="nil"/>
                          <w:left w:val="nil"/>
                          <w:bottom w:val="single" w:sz="8" w:space="0" w:color="auto"/>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b/>
                            <w:bCs/>
                            <w:sz w:val="18"/>
                            <w:szCs w:val="18"/>
                            <w:lang w:eastAsia="tr-TR"/>
                          </w:rPr>
                          <w:t>Sayısı</w:t>
                        </w:r>
                      </w:p>
                    </w:tc>
                  </w:tr>
                  <w:tr w:rsidR="00E6116D" w:rsidRPr="00E6116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sz w:val="18"/>
                            <w:szCs w:val="18"/>
                            <w:lang w:eastAsia="tr-TR"/>
                          </w:rPr>
                          <w:t>1-</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uto"/>
                          <w:ind w:right="523"/>
                          <w:jc w:val="center"/>
                          <w:rPr>
                            <w:rFonts w:eastAsia="Times New Roman"/>
                            <w:lang w:eastAsia="tr-TR"/>
                          </w:rPr>
                        </w:pPr>
                        <w:r w:rsidRPr="00E6116D">
                          <w:rPr>
                            <w:rFonts w:eastAsia="Times New Roman"/>
                            <w:sz w:val="18"/>
                            <w:szCs w:val="18"/>
                            <w:lang w:eastAsia="tr-TR"/>
                          </w:rPr>
                          <w:t>6/10/2016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uto"/>
                          <w:jc w:val="center"/>
                          <w:rPr>
                            <w:rFonts w:eastAsia="Times New Roman"/>
                            <w:lang w:eastAsia="tr-TR"/>
                          </w:rPr>
                        </w:pPr>
                        <w:r w:rsidRPr="00E6116D">
                          <w:rPr>
                            <w:rFonts w:eastAsia="Times New Roman"/>
                            <w:sz w:val="18"/>
                            <w:szCs w:val="18"/>
                            <w:lang w:eastAsia="tr-TR"/>
                          </w:rPr>
                          <w:t>29849</w:t>
                        </w:r>
                      </w:p>
                    </w:tc>
                  </w:tr>
                  <w:tr w:rsidR="00E6116D" w:rsidRPr="00E6116D">
                    <w:trPr>
                      <w:jc w:val="center"/>
                    </w:trPr>
                    <w:tc>
                      <w:tcPr>
                        <w:tcW w:w="43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6116D" w:rsidRPr="00E6116D" w:rsidRDefault="00E6116D" w:rsidP="00E6116D">
                        <w:pPr>
                          <w:spacing w:before="100" w:beforeAutospacing="1" w:after="100" w:afterAutospacing="1" w:line="240" w:lineRule="atLeast"/>
                          <w:jc w:val="center"/>
                          <w:rPr>
                            <w:rFonts w:eastAsia="Times New Roman"/>
                            <w:lang w:eastAsia="tr-TR"/>
                          </w:rPr>
                        </w:pPr>
                        <w:r w:rsidRPr="00E6116D">
                          <w:rPr>
                            <w:rFonts w:eastAsia="Times New Roman"/>
                            <w:sz w:val="18"/>
                            <w:szCs w:val="18"/>
                            <w:lang w:eastAsia="tr-TR"/>
                          </w:rPr>
                          <w:t>2-</w:t>
                        </w:r>
                      </w:p>
                    </w:tc>
                    <w:tc>
                      <w:tcPr>
                        <w:tcW w:w="38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tLeast"/>
                          <w:ind w:right="523"/>
                          <w:jc w:val="center"/>
                          <w:rPr>
                            <w:rFonts w:eastAsia="Times New Roman"/>
                            <w:lang w:eastAsia="tr-TR"/>
                          </w:rPr>
                        </w:pPr>
                        <w:r w:rsidRPr="00E6116D">
                          <w:rPr>
                            <w:rFonts w:eastAsia="Times New Roman"/>
                            <w:sz w:val="18"/>
                            <w:szCs w:val="18"/>
                            <w:lang w:eastAsia="tr-TR"/>
                          </w:rPr>
                          <w:t>3/11/2016</w:t>
                        </w:r>
                      </w:p>
                    </w:tc>
                    <w:tc>
                      <w:tcPr>
                        <w:tcW w:w="425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6116D" w:rsidRPr="00E6116D" w:rsidRDefault="00E6116D" w:rsidP="00E6116D">
                        <w:pPr>
                          <w:spacing w:after="0" w:line="240" w:lineRule="atLeast"/>
                          <w:jc w:val="center"/>
                          <w:rPr>
                            <w:rFonts w:eastAsia="Times New Roman"/>
                            <w:lang w:eastAsia="tr-TR"/>
                          </w:rPr>
                        </w:pPr>
                        <w:r w:rsidRPr="00E6116D">
                          <w:rPr>
                            <w:rFonts w:eastAsia="Times New Roman"/>
                            <w:sz w:val="18"/>
                            <w:szCs w:val="18"/>
                            <w:lang w:eastAsia="tr-TR"/>
                          </w:rPr>
                          <w:t>29877</w:t>
                        </w:r>
                      </w:p>
                    </w:tc>
                  </w:tr>
                </w:tbl>
                <w:p w:rsidR="00E6116D" w:rsidRPr="00E6116D" w:rsidRDefault="00E6116D" w:rsidP="00E6116D">
                  <w:pPr>
                    <w:spacing w:after="0" w:line="240" w:lineRule="auto"/>
                    <w:rPr>
                      <w:rFonts w:eastAsia="Times New Roman"/>
                      <w:lang w:eastAsia="tr-TR"/>
                    </w:rPr>
                  </w:pPr>
                </w:p>
              </w:tc>
            </w:tr>
          </w:tbl>
          <w:p w:rsidR="00E6116D" w:rsidRPr="00E6116D" w:rsidRDefault="00E6116D" w:rsidP="00E6116D">
            <w:pPr>
              <w:spacing w:after="0" w:line="240" w:lineRule="auto"/>
              <w:rPr>
                <w:rFonts w:eastAsia="Times New Roman"/>
                <w:lang w:eastAsia="tr-TR"/>
              </w:rPr>
            </w:pPr>
          </w:p>
        </w:tc>
      </w:tr>
    </w:tbl>
    <w:p w:rsidR="00E6116D" w:rsidRPr="00E6116D" w:rsidRDefault="00E6116D" w:rsidP="00E6116D">
      <w:pPr>
        <w:spacing w:after="0" w:line="240" w:lineRule="auto"/>
        <w:jc w:val="center"/>
        <w:rPr>
          <w:rFonts w:eastAsia="Times New Roman"/>
          <w:color w:val="000000"/>
          <w:sz w:val="27"/>
          <w:szCs w:val="27"/>
          <w:lang w:eastAsia="tr-TR"/>
        </w:rPr>
      </w:pPr>
      <w:r w:rsidRPr="00E6116D">
        <w:rPr>
          <w:rFonts w:eastAsia="Times New Roman"/>
          <w:color w:val="000000"/>
          <w:sz w:val="27"/>
          <w:szCs w:val="27"/>
          <w:lang w:eastAsia="tr-TR"/>
        </w:rPr>
        <w:t> </w:t>
      </w:r>
    </w:p>
    <w:p w:rsidR="007536DA" w:rsidRDefault="007536DA">
      <w:bookmarkStart w:id="0" w:name="_GoBack"/>
      <w:bookmarkEnd w:id="0"/>
    </w:p>
    <w:sectPr w:rsidR="007536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16D"/>
    <w:rsid w:val="007536DA"/>
    <w:rsid w:val="00E611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116D"/>
    <w:pPr>
      <w:spacing w:before="100" w:beforeAutospacing="1" w:after="100" w:afterAutospacing="1" w:line="240" w:lineRule="auto"/>
    </w:pPr>
    <w:rPr>
      <w:rFonts w:eastAsia="Times New Roman"/>
      <w:lang w:eastAsia="tr-TR"/>
    </w:rPr>
  </w:style>
  <w:style w:type="paragraph" w:customStyle="1" w:styleId="balk11pt">
    <w:name w:val="balk11pt"/>
    <w:basedOn w:val="Normal"/>
    <w:rsid w:val="00E6116D"/>
    <w:pPr>
      <w:spacing w:before="100" w:beforeAutospacing="1" w:after="100" w:afterAutospacing="1" w:line="240" w:lineRule="auto"/>
    </w:pPr>
    <w:rPr>
      <w:rFonts w:eastAsia="Times New Roman"/>
      <w:lang w:eastAsia="tr-TR"/>
    </w:rPr>
  </w:style>
  <w:style w:type="paragraph" w:customStyle="1" w:styleId="ortabalkbold">
    <w:name w:val="ortabalkbold"/>
    <w:basedOn w:val="Normal"/>
    <w:rsid w:val="00E6116D"/>
    <w:pPr>
      <w:spacing w:before="100" w:beforeAutospacing="1" w:after="100" w:afterAutospacing="1" w:line="240" w:lineRule="auto"/>
    </w:pPr>
    <w:rPr>
      <w:rFonts w:eastAsia="Times New Roman"/>
      <w:lang w:eastAsia="tr-TR"/>
    </w:rPr>
  </w:style>
  <w:style w:type="paragraph" w:customStyle="1" w:styleId="metin">
    <w:name w:val="metin"/>
    <w:basedOn w:val="Normal"/>
    <w:rsid w:val="00E6116D"/>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E6116D"/>
  </w:style>
  <w:style w:type="character" w:customStyle="1" w:styleId="grame">
    <w:name w:val="grame"/>
    <w:basedOn w:val="VarsaylanParagrafYazTipi"/>
    <w:rsid w:val="00E6116D"/>
  </w:style>
  <w:style w:type="character" w:customStyle="1" w:styleId="spelle">
    <w:name w:val="spelle"/>
    <w:basedOn w:val="VarsaylanParagrafYazTipi"/>
    <w:rsid w:val="00E6116D"/>
  </w:style>
  <w:style w:type="paragraph" w:customStyle="1" w:styleId="3-normalyaz">
    <w:name w:val="3-normalyaz"/>
    <w:basedOn w:val="Normal"/>
    <w:rsid w:val="00E6116D"/>
    <w:pPr>
      <w:spacing w:before="100" w:beforeAutospacing="1" w:after="100" w:afterAutospacing="1" w:line="240" w:lineRule="auto"/>
    </w:pPr>
    <w:rPr>
      <w:rFonts w:eastAsia="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6116D"/>
    <w:pPr>
      <w:spacing w:before="100" w:beforeAutospacing="1" w:after="100" w:afterAutospacing="1" w:line="240" w:lineRule="auto"/>
    </w:pPr>
    <w:rPr>
      <w:rFonts w:eastAsia="Times New Roman"/>
      <w:lang w:eastAsia="tr-TR"/>
    </w:rPr>
  </w:style>
  <w:style w:type="paragraph" w:customStyle="1" w:styleId="balk11pt">
    <w:name w:val="balk11pt"/>
    <w:basedOn w:val="Normal"/>
    <w:rsid w:val="00E6116D"/>
    <w:pPr>
      <w:spacing w:before="100" w:beforeAutospacing="1" w:after="100" w:afterAutospacing="1" w:line="240" w:lineRule="auto"/>
    </w:pPr>
    <w:rPr>
      <w:rFonts w:eastAsia="Times New Roman"/>
      <w:lang w:eastAsia="tr-TR"/>
    </w:rPr>
  </w:style>
  <w:style w:type="paragraph" w:customStyle="1" w:styleId="ortabalkbold">
    <w:name w:val="ortabalkbold"/>
    <w:basedOn w:val="Normal"/>
    <w:rsid w:val="00E6116D"/>
    <w:pPr>
      <w:spacing w:before="100" w:beforeAutospacing="1" w:after="100" w:afterAutospacing="1" w:line="240" w:lineRule="auto"/>
    </w:pPr>
    <w:rPr>
      <w:rFonts w:eastAsia="Times New Roman"/>
      <w:lang w:eastAsia="tr-TR"/>
    </w:rPr>
  </w:style>
  <w:style w:type="paragraph" w:customStyle="1" w:styleId="metin">
    <w:name w:val="metin"/>
    <w:basedOn w:val="Normal"/>
    <w:rsid w:val="00E6116D"/>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E6116D"/>
  </w:style>
  <w:style w:type="character" w:customStyle="1" w:styleId="grame">
    <w:name w:val="grame"/>
    <w:basedOn w:val="VarsaylanParagrafYazTipi"/>
    <w:rsid w:val="00E6116D"/>
  </w:style>
  <w:style w:type="character" w:customStyle="1" w:styleId="spelle">
    <w:name w:val="spelle"/>
    <w:basedOn w:val="VarsaylanParagrafYazTipi"/>
    <w:rsid w:val="00E6116D"/>
  </w:style>
  <w:style w:type="paragraph" w:customStyle="1" w:styleId="3-normalyaz">
    <w:name w:val="3-normalyaz"/>
    <w:basedOn w:val="Normal"/>
    <w:rsid w:val="00E6116D"/>
    <w:pPr>
      <w:spacing w:before="100" w:beforeAutospacing="1" w:after="100" w:afterAutospacing="1" w:line="240" w:lineRule="auto"/>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1485</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dc:creator>
  <cp:lastModifiedBy>TES</cp:lastModifiedBy>
  <cp:revision>1</cp:revision>
  <dcterms:created xsi:type="dcterms:W3CDTF">2017-04-22T11:45:00Z</dcterms:created>
  <dcterms:modified xsi:type="dcterms:W3CDTF">2017-04-22T11:45:00Z</dcterms:modified>
</cp:coreProperties>
</file>