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01BA7" w:rsidRPr="00F01BA7" w:rsidTr="00F01BA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01BA7" w:rsidRPr="00F01BA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1BA7" w:rsidRPr="00F01BA7" w:rsidRDefault="00F01BA7" w:rsidP="00F01BA7">
                  <w:pPr>
                    <w:spacing w:after="0" w:line="240" w:lineRule="atLeast"/>
                    <w:rPr>
                      <w:rFonts w:eastAsia="Times New Roman"/>
                      <w:lang w:eastAsia="tr-TR"/>
                    </w:rPr>
                  </w:pPr>
                  <w:r w:rsidRPr="00F01BA7">
                    <w:rPr>
                      <w:rFonts w:ascii="Arial" w:eastAsia="Times New Roman" w:hAnsi="Arial" w:cs="Arial"/>
                      <w:sz w:val="16"/>
                      <w:szCs w:val="16"/>
                      <w:lang w:eastAsia="tr-TR"/>
                    </w:rPr>
                    <w:t>14 Şubat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1BA7" w:rsidRPr="00F01BA7" w:rsidRDefault="00F01BA7" w:rsidP="00F01BA7">
                  <w:pPr>
                    <w:spacing w:after="0" w:line="240" w:lineRule="atLeast"/>
                    <w:jc w:val="center"/>
                    <w:rPr>
                      <w:rFonts w:eastAsia="Times New Roman"/>
                      <w:lang w:eastAsia="tr-TR"/>
                    </w:rPr>
                  </w:pPr>
                  <w:r w:rsidRPr="00F01BA7">
                    <w:rPr>
                      <w:rFonts w:ascii="Palatino Linotype" w:eastAsia="Times New Roman"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01BA7" w:rsidRPr="00F01BA7" w:rsidRDefault="00F01BA7" w:rsidP="00F01BA7">
                  <w:pPr>
                    <w:spacing w:before="100" w:beforeAutospacing="1" w:after="100" w:afterAutospacing="1" w:line="240" w:lineRule="auto"/>
                    <w:jc w:val="right"/>
                    <w:rPr>
                      <w:rFonts w:eastAsia="Times New Roman"/>
                      <w:lang w:eastAsia="tr-TR"/>
                    </w:rPr>
                  </w:pPr>
                  <w:proofErr w:type="gramStart"/>
                  <w:r w:rsidRPr="00F01BA7">
                    <w:rPr>
                      <w:rFonts w:ascii="Arial" w:eastAsia="Times New Roman" w:hAnsi="Arial" w:cs="Arial"/>
                      <w:sz w:val="16"/>
                      <w:szCs w:val="16"/>
                      <w:lang w:eastAsia="tr-TR"/>
                    </w:rPr>
                    <w:t>Sayı : 30332</w:t>
                  </w:r>
                  <w:proofErr w:type="gramEnd"/>
                </w:p>
              </w:tc>
            </w:tr>
            <w:tr w:rsidR="00F01BA7" w:rsidRPr="00F01BA7">
              <w:trPr>
                <w:trHeight w:val="480"/>
                <w:jc w:val="center"/>
              </w:trPr>
              <w:tc>
                <w:tcPr>
                  <w:tcW w:w="8789" w:type="dxa"/>
                  <w:gridSpan w:val="3"/>
                  <w:tcMar>
                    <w:top w:w="0" w:type="dxa"/>
                    <w:left w:w="108" w:type="dxa"/>
                    <w:bottom w:w="0" w:type="dxa"/>
                    <w:right w:w="108" w:type="dxa"/>
                  </w:tcMar>
                  <w:vAlign w:val="center"/>
                  <w:hideMark/>
                </w:tcPr>
                <w:p w:rsidR="00F01BA7" w:rsidRPr="00F01BA7" w:rsidRDefault="00F01BA7" w:rsidP="00F01BA7">
                  <w:pPr>
                    <w:spacing w:before="100" w:beforeAutospacing="1" w:after="100" w:afterAutospacing="1" w:line="240" w:lineRule="auto"/>
                    <w:jc w:val="center"/>
                    <w:rPr>
                      <w:rFonts w:eastAsia="Times New Roman"/>
                      <w:lang w:eastAsia="tr-TR"/>
                    </w:rPr>
                  </w:pPr>
                  <w:r w:rsidRPr="00F01BA7">
                    <w:rPr>
                      <w:rFonts w:ascii="Arial" w:eastAsia="Times New Roman" w:hAnsi="Arial" w:cs="Arial"/>
                      <w:b/>
                      <w:bCs/>
                      <w:color w:val="000080"/>
                      <w:sz w:val="18"/>
                      <w:szCs w:val="18"/>
                      <w:lang w:eastAsia="tr-TR"/>
                    </w:rPr>
                    <w:t>YÖNETMELİK</w:t>
                  </w:r>
                </w:p>
              </w:tc>
            </w:tr>
            <w:tr w:rsidR="00F01BA7" w:rsidRPr="00F01BA7">
              <w:trPr>
                <w:trHeight w:val="480"/>
                <w:jc w:val="center"/>
              </w:trPr>
              <w:tc>
                <w:tcPr>
                  <w:tcW w:w="8789" w:type="dxa"/>
                  <w:gridSpan w:val="3"/>
                  <w:tcMar>
                    <w:top w:w="0" w:type="dxa"/>
                    <w:left w:w="108" w:type="dxa"/>
                    <w:bottom w:w="0" w:type="dxa"/>
                    <w:right w:w="108" w:type="dxa"/>
                  </w:tcMar>
                  <w:vAlign w:val="center"/>
                  <w:hideMark/>
                </w:tcPr>
                <w:p w:rsidR="00F01BA7" w:rsidRPr="00F01BA7" w:rsidRDefault="00F01BA7" w:rsidP="00F01BA7">
                  <w:pPr>
                    <w:spacing w:after="0" w:line="240" w:lineRule="atLeast"/>
                    <w:ind w:firstLine="566"/>
                    <w:jc w:val="both"/>
                    <w:rPr>
                      <w:rFonts w:eastAsia="Times New Roman"/>
                      <w:sz w:val="22"/>
                      <w:szCs w:val="22"/>
                      <w:u w:val="single"/>
                      <w:lang w:eastAsia="tr-TR"/>
                    </w:rPr>
                  </w:pPr>
                  <w:r w:rsidRPr="00F01BA7">
                    <w:rPr>
                      <w:rFonts w:eastAsia="Times New Roman"/>
                      <w:sz w:val="18"/>
                      <w:szCs w:val="18"/>
                      <w:u w:val="single"/>
                      <w:lang w:eastAsia="tr-TR"/>
                    </w:rPr>
                    <w:t>Millî Eğitim Bakanlığından:</w:t>
                  </w:r>
                </w:p>
                <w:p w:rsidR="00F01BA7" w:rsidRPr="00F01BA7" w:rsidRDefault="00F01BA7" w:rsidP="00F01BA7">
                  <w:pPr>
                    <w:spacing w:before="56" w:after="0" w:line="240" w:lineRule="atLeast"/>
                    <w:jc w:val="center"/>
                    <w:rPr>
                      <w:rFonts w:eastAsia="Times New Roman"/>
                      <w:b/>
                      <w:bCs/>
                      <w:sz w:val="19"/>
                      <w:szCs w:val="19"/>
                      <w:lang w:eastAsia="tr-TR"/>
                    </w:rPr>
                  </w:pPr>
                  <w:r w:rsidRPr="00F01BA7">
                    <w:rPr>
                      <w:rFonts w:eastAsia="Times New Roman"/>
                      <w:b/>
                      <w:bCs/>
                      <w:sz w:val="18"/>
                      <w:szCs w:val="18"/>
                      <w:lang w:eastAsia="tr-TR"/>
                    </w:rPr>
                    <w:t>MİLLÎ EĞİTİM BAKANLIĞI ORTAÖĞRETİM KURUMLARI</w:t>
                  </w:r>
                </w:p>
                <w:p w:rsidR="00F01BA7" w:rsidRPr="00F01BA7" w:rsidRDefault="00F01BA7" w:rsidP="00F01BA7">
                  <w:pPr>
                    <w:spacing w:after="0" w:line="240" w:lineRule="atLeast"/>
                    <w:jc w:val="center"/>
                    <w:rPr>
                      <w:rFonts w:eastAsia="Times New Roman"/>
                      <w:b/>
                      <w:bCs/>
                      <w:sz w:val="19"/>
                      <w:szCs w:val="19"/>
                      <w:lang w:eastAsia="tr-TR"/>
                    </w:rPr>
                  </w:pPr>
                  <w:r w:rsidRPr="00F01BA7">
                    <w:rPr>
                      <w:rFonts w:eastAsia="Times New Roman"/>
                      <w:b/>
                      <w:bCs/>
                      <w:sz w:val="18"/>
                      <w:szCs w:val="18"/>
                      <w:lang w:eastAsia="tr-TR"/>
                    </w:rPr>
                    <w:t>YÖNETMELİĞİNDE DEĞİŞİKLİK YAPILMASINA</w:t>
                  </w:r>
                </w:p>
                <w:p w:rsidR="00F01BA7" w:rsidRPr="00F01BA7" w:rsidRDefault="00F01BA7" w:rsidP="00F01BA7">
                  <w:pPr>
                    <w:spacing w:after="170" w:line="240" w:lineRule="atLeast"/>
                    <w:jc w:val="center"/>
                    <w:rPr>
                      <w:rFonts w:eastAsia="Times New Roman"/>
                      <w:b/>
                      <w:bCs/>
                      <w:sz w:val="19"/>
                      <w:szCs w:val="19"/>
                      <w:lang w:eastAsia="tr-TR"/>
                    </w:rPr>
                  </w:pPr>
                  <w:r w:rsidRPr="00F01BA7">
                    <w:rPr>
                      <w:rFonts w:eastAsia="Times New Roman"/>
                      <w:b/>
                      <w:bCs/>
                      <w:sz w:val="18"/>
                      <w:szCs w:val="18"/>
                      <w:lang w:eastAsia="tr-TR"/>
                    </w:rPr>
                    <w:t>DAİR YÖNETMELİK</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1 – </w:t>
                  </w:r>
                  <w:proofErr w:type="gramStart"/>
                  <w:r w:rsidRPr="00F01BA7">
                    <w:rPr>
                      <w:rFonts w:eastAsia="Times New Roman"/>
                      <w:sz w:val="18"/>
                      <w:szCs w:val="18"/>
                      <w:lang w:eastAsia="tr-TR"/>
                    </w:rPr>
                    <w:t>7/9/2013</w:t>
                  </w:r>
                  <w:proofErr w:type="gramEnd"/>
                  <w:r w:rsidRPr="00F01BA7">
                    <w:rPr>
                      <w:rFonts w:eastAsia="Times New Roman"/>
                      <w:sz w:val="18"/>
                      <w:szCs w:val="18"/>
                      <w:lang w:eastAsia="tr-TR"/>
                    </w:rPr>
                    <w:t xml:space="preserve"> tarihli ve 28758 sayılı Resmî </w:t>
                  </w:r>
                  <w:proofErr w:type="spellStart"/>
                  <w:r w:rsidRPr="00F01BA7">
                    <w:rPr>
                      <w:rFonts w:eastAsia="Times New Roman"/>
                      <w:sz w:val="18"/>
                      <w:szCs w:val="18"/>
                      <w:lang w:eastAsia="tr-TR"/>
                    </w:rPr>
                    <w:t>Gazete’de</w:t>
                  </w:r>
                  <w:proofErr w:type="spellEnd"/>
                  <w:r w:rsidRPr="00F01BA7">
                    <w:rPr>
                      <w:rFonts w:eastAsia="Times New Roman"/>
                      <w:sz w:val="18"/>
                      <w:szCs w:val="18"/>
                      <w:lang w:eastAsia="tr-TR"/>
                    </w:rPr>
                    <w:t xml:space="preserve"> yayımlanan Millî Eğitim Bakanlığı Ortaöğretim Kurumları Yönetmeliğinin 3 üncü maddesinin birinci fıkrasına “İş Sağlığı ve Güvenliği Kanunu,” ibaresinden sonra gelmek üzere “25/4/2006 tarihli ve 5490 sayılı Nüfus Hizmetleri Kanunu,” ibaresi eklenmiştir.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2 –</w:t>
                  </w:r>
                  <w:r w:rsidRPr="00F01BA7">
                    <w:rPr>
                      <w:rFonts w:eastAsia="Times New Roman"/>
                      <w:sz w:val="18"/>
                      <w:szCs w:val="18"/>
                      <w:lang w:eastAsia="tr-TR"/>
                    </w:rPr>
                    <w:t> Aynı Yönetmeliğin 4 üncü maddesinin birinci fıkrasına aşağıdaki bentler eklenmiştir.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w:t>
                  </w:r>
                  <w:proofErr w:type="spellStart"/>
                  <w:r w:rsidRPr="00F01BA7">
                    <w:rPr>
                      <w:rFonts w:eastAsia="Times New Roman"/>
                      <w:sz w:val="18"/>
                      <w:szCs w:val="18"/>
                      <w:lang w:eastAsia="tr-TR"/>
                    </w:rPr>
                    <w:t>ğğ</w:t>
                  </w:r>
                  <w:proofErr w:type="spellEnd"/>
                  <w:r w:rsidRPr="00F01BA7">
                    <w:rPr>
                      <w:rFonts w:eastAsia="Times New Roman"/>
                      <w:sz w:val="18"/>
                      <w:szCs w:val="18"/>
                      <w:lang w:eastAsia="tr-TR"/>
                    </w:rPr>
                    <w:t>) Merkezi sınav: Fen liseleri, sosyal bilimler liseleri,  proje uygulayan eğitim kurumları ile mesleki ve teknik Anadolu liselerinin Anadolu teknik programlarına öğrenci yerleştirme amacıyla Bakanlıkça yapılan sınavı,</w:t>
                  </w:r>
                </w:p>
                <w:p w:rsidR="00F01BA7" w:rsidRPr="00F01BA7" w:rsidRDefault="00F01BA7" w:rsidP="00F01BA7">
                  <w:pPr>
                    <w:spacing w:after="0" w:line="240" w:lineRule="atLeast"/>
                    <w:ind w:firstLine="566"/>
                    <w:jc w:val="both"/>
                    <w:rPr>
                      <w:rFonts w:eastAsia="Times New Roman"/>
                      <w:sz w:val="19"/>
                      <w:szCs w:val="19"/>
                      <w:lang w:eastAsia="tr-TR"/>
                    </w:rPr>
                  </w:pPr>
                  <w:proofErr w:type="spellStart"/>
                  <w:r w:rsidRPr="00F01BA7">
                    <w:rPr>
                      <w:rFonts w:eastAsia="Times New Roman"/>
                      <w:sz w:val="18"/>
                      <w:szCs w:val="18"/>
                      <w:lang w:eastAsia="tr-TR"/>
                    </w:rPr>
                    <w:t>hh</w:t>
                  </w:r>
                  <w:proofErr w:type="spellEnd"/>
                  <w:r w:rsidRPr="00F01BA7">
                    <w:rPr>
                      <w:rFonts w:eastAsia="Times New Roman"/>
                      <w:sz w:val="18"/>
                      <w:szCs w:val="18"/>
                      <w:lang w:eastAsia="tr-TR"/>
                    </w:rPr>
                    <w:t>) Merkezi sınav puanı: Fen liseleri, sosyal bilimler liseleri, proje uygulayan eğitim kurumları ile mesleki ve teknik Anadolu liselerinin Anadolu teknik programlarına öğrenci yerleştirmede kullanılan Bakanlıkça yapılan sınav puanını,</w:t>
                  </w:r>
                </w:p>
                <w:p w:rsidR="00F01BA7" w:rsidRPr="00F01BA7" w:rsidRDefault="00F01BA7" w:rsidP="00F01BA7">
                  <w:pPr>
                    <w:spacing w:after="0" w:line="240" w:lineRule="atLeast"/>
                    <w:ind w:firstLine="566"/>
                    <w:jc w:val="both"/>
                    <w:rPr>
                      <w:rFonts w:eastAsia="Times New Roman"/>
                      <w:sz w:val="19"/>
                      <w:szCs w:val="19"/>
                      <w:lang w:eastAsia="tr-TR"/>
                    </w:rPr>
                  </w:pPr>
                  <w:proofErr w:type="spellStart"/>
                  <w:r w:rsidRPr="00F01BA7">
                    <w:rPr>
                      <w:rFonts w:eastAsia="Times New Roman"/>
                      <w:sz w:val="18"/>
                      <w:szCs w:val="18"/>
                      <w:lang w:eastAsia="tr-TR"/>
                    </w:rPr>
                    <w:t>ıı</w:t>
                  </w:r>
                  <w:proofErr w:type="spellEnd"/>
                  <w:r w:rsidRPr="00F01BA7">
                    <w:rPr>
                      <w:rFonts w:eastAsia="Times New Roman"/>
                      <w:sz w:val="18"/>
                      <w:szCs w:val="18"/>
                      <w:lang w:eastAsia="tr-TR"/>
                    </w:rPr>
                    <w:t>) Merkezi sınav puanıyla öğrenci alan okul: Fen liseleri, sosyal bilimler liseleri, proje uygulayan eğitim kurumları ile mesleki ve teknik Anadolu liselerinin Anadolu teknik programlarını,</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ii) Ortaokul başarı puanı (OBP): Ortaokulun 6, 7 ve 8. sınıf seviyesinde alınan yılsonu başarı puanlarının aritmetik ortalamasını,</w:t>
                  </w:r>
                </w:p>
                <w:p w:rsidR="00F01BA7" w:rsidRPr="00F01BA7" w:rsidRDefault="00F01BA7" w:rsidP="00F01BA7">
                  <w:pPr>
                    <w:spacing w:after="0" w:line="240" w:lineRule="atLeast"/>
                    <w:ind w:firstLine="566"/>
                    <w:jc w:val="both"/>
                    <w:rPr>
                      <w:rFonts w:eastAsia="Times New Roman"/>
                      <w:sz w:val="19"/>
                      <w:szCs w:val="19"/>
                      <w:lang w:eastAsia="tr-TR"/>
                    </w:rPr>
                  </w:pPr>
                  <w:proofErr w:type="spellStart"/>
                  <w:r w:rsidRPr="00F01BA7">
                    <w:rPr>
                      <w:rFonts w:eastAsia="Times New Roman"/>
                      <w:sz w:val="18"/>
                      <w:szCs w:val="18"/>
                      <w:lang w:eastAsia="tr-TR"/>
                    </w:rPr>
                    <w:t>jj</w:t>
                  </w:r>
                  <w:proofErr w:type="spellEnd"/>
                  <w:r w:rsidRPr="00F01BA7">
                    <w:rPr>
                      <w:rFonts w:eastAsia="Times New Roman"/>
                      <w:sz w:val="18"/>
                      <w:szCs w:val="18"/>
                      <w:lang w:eastAsia="tr-TR"/>
                    </w:rPr>
                    <w:t>)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F01BA7" w:rsidRPr="00F01BA7" w:rsidRDefault="00F01BA7" w:rsidP="00F01BA7">
                  <w:pPr>
                    <w:spacing w:after="0" w:line="240" w:lineRule="atLeast"/>
                    <w:ind w:firstLine="566"/>
                    <w:jc w:val="both"/>
                    <w:rPr>
                      <w:rFonts w:eastAsia="Times New Roman"/>
                      <w:sz w:val="19"/>
                      <w:szCs w:val="19"/>
                      <w:lang w:eastAsia="tr-TR"/>
                    </w:rPr>
                  </w:pPr>
                  <w:proofErr w:type="spellStart"/>
                  <w:r w:rsidRPr="00F01BA7">
                    <w:rPr>
                      <w:rFonts w:eastAsia="Times New Roman"/>
                      <w:sz w:val="18"/>
                      <w:szCs w:val="18"/>
                      <w:lang w:eastAsia="tr-TR"/>
                    </w:rPr>
                    <w:t>kk</w:t>
                  </w:r>
                  <w:proofErr w:type="spellEnd"/>
                  <w:r w:rsidRPr="00F01BA7">
                    <w:rPr>
                      <w:rFonts w:eastAsia="Times New Roman"/>
                      <w:sz w:val="18"/>
                      <w:szCs w:val="18"/>
                      <w:lang w:eastAsia="tr-TR"/>
                    </w:rPr>
                    <w:t>) Proje uygulayan eğitim kurumu: </w:t>
                  </w:r>
                  <w:proofErr w:type="gramStart"/>
                  <w:r w:rsidRPr="00F01BA7">
                    <w:rPr>
                      <w:rFonts w:eastAsia="Times New Roman"/>
                      <w:sz w:val="18"/>
                      <w:szCs w:val="18"/>
                      <w:lang w:eastAsia="tr-TR"/>
                    </w:rPr>
                    <w:t>1/9/2016</w:t>
                  </w:r>
                  <w:proofErr w:type="gramEnd"/>
                  <w:r w:rsidRPr="00F01BA7">
                    <w:rPr>
                      <w:rFonts w:eastAsia="Times New Roman"/>
                      <w:sz w:val="18"/>
                      <w:szCs w:val="18"/>
                      <w:lang w:eastAsia="tr-TR"/>
                    </w:rPr>
                    <w:t xml:space="preserve"> tarihli ve 29818 sayılı Resmî </w:t>
                  </w:r>
                  <w:proofErr w:type="spellStart"/>
                  <w:r w:rsidRPr="00F01BA7">
                    <w:rPr>
                      <w:rFonts w:eastAsia="Times New Roman"/>
                      <w:sz w:val="18"/>
                      <w:szCs w:val="18"/>
                      <w:lang w:eastAsia="tr-TR"/>
                    </w:rPr>
                    <w:t>Gazete’de</w:t>
                  </w:r>
                  <w:proofErr w:type="spellEnd"/>
                  <w:r w:rsidRPr="00F01BA7">
                    <w:rPr>
                      <w:rFonts w:eastAsia="Times New Roman"/>
                      <w:sz w:val="18"/>
                      <w:szCs w:val="18"/>
                      <w:lang w:eastAsia="tr-TR"/>
                    </w:rPr>
                    <w:t xml:space="preserve"> yayımlanan Millî Eğitim Bakanlığı Özel Program ve Proje Uygulayan Eğitim Kurumları Yönetmeliği kapsamında Bakanlıkça belirlenen okulu,”</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3 –</w:t>
                  </w:r>
                  <w:r w:rsidRPr="00F01BA7">
                    <w:rPr>
                      <w:rFonts w:eastAsia="Times New Roman"/>
                      <w:sz w:val="18"/>
                      <w:szCs w:val="18"/>
                      <w:lang w:eastAsia="tr-TR"/>
                    </w:rPr>
                    <w:t> Aynı Yönetmeliğin 8 inci maddesine aşağıdaki fıkra eklenmiştir.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“(5) Ortaöğretim kurumlarında, destekleme ve yetiştirme kursları açılabilir. Bu kurslarla ilgili usul ve esaslar, Bakanlıkça belirlenir.”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4 –</w:t>
                  </w:r>
                  <w:r w:rsidRPr="00F01BA7">
                    <w:rPr>
                      <w:rFonts w:eastAsia="Times New Roman"/>
                      <w:sz w:val="18"/>
                      <w:szCs w:val="18"/>
                      <w:lang w:eastAsia="tr-TR"/>
                    </w:rPr>
                    <w:t> Aynı Yönetmeliğin 10 uncu maddesinin birinci fıkrasının (g) bendinde yer alan “ortaöğretime yerleştirmeye esas puanla” ibaresi “merkezi sınav puanı ile” olarak değiştirilmiştir.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5 –</w:t>
                  </w:r>
                  <w:r w:rsidRPr="00F01BA7">
                    <w:rPr>
                      <w:rFonts w:eastAsia="Times New Roman"/>
                      <w:sz w:val="18"/>
                      <w:szCs w:val="18"/>
                      <w:lang w:eastAsia="tr-TR"/>
                    </w:rPr>
                    <w:t> Aynı Yönetmeliğin 20 </w:t>
                  </w:r>
                  <w:proofErr w:type="spellStart"/>
                  <w:r w:rsidRPr="00F01BA7">
                    <w:rPr>
                      <w:rFonts w:eastAsia="Times New Roman"/>
                      <w:sz w:val="18"/>
                      <w:szCs w:val="18"/>
                      <w:lang w:eastAsia="tr-TR"/>
                    </w:rPr>
                    <w:t>nci</w:t>
                  </w:r>
                  <w:proofErr w:type="spellEnd"/>
                  <w:r w:rsidRPr="00F01BA7">
                    <w:rPr>
                      <w:rFonts w:eastAsia="Times New Roman"/>
                      <w:sz w:val="18"/>
                      <w:szCs w:val="18"/>
                      <w:lang w:eastAsia="tr-TR"/>
                    </w:rPr>
                    <w:t> maddesi aşağıdaki şekilde değiştirilmiştir.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20 –</w:t>
                  </w:r>
                  <w:r w:rsidRPr="00F01BA7">
                    <w:rPr>
                      <w:rFonts w:eastAsia="Times New Roman"/>
                      <w:sz w:val="18"/>
                      <w:szCs w:val="18"/>
                      <w:lang w:eastAsia="tr-TR"/>
                    </w:rPr>
                    <w:t> (1) Ortaokulu veya imam hatip ortaokulunu bitiren öğrenciler bilgi, beceri ve yetenekleri doğrultusunda;</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a) Merkezi sınav puanıyla,</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b) Ortaöğretim kayıt alanı içindeki okullara tercihe bağlı olarak,</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c) Ortaöğretim kayıt alanı dışındaki pansiyonlu okullara tercihe bağlı olarak,</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ç) Merkezi sınav ile birlikte yetenek sınavı puanıyla,</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d) Yetenek sınav puanıyla,</w:t>
                  </w:r>
                </w:p>
                <w:p w:rsidR="00F01BA7" w:rsidRPr="00F01BA7" w:rsidRDefault="00F01BA7" w:rsidP="00F01BA7">
                  <w:pPr>
                    <w:spacing w:after="0" w:line="240" w:lineRule="atLeast"/>
                    <w:ind w:firstLine="566"/>
                    <w:jc w:val="both"/>
                    <w:rPr>
                      <w:rFonts w:eastAsia="Times New Roman"/>
                      <w:sz w:val="19"/>
                      <w:szCs w:val="19"/>
                      <w:lang w:eastAsia="tr-TR"/>
                    </w:rPr>
                  </w:pPr>
                  <w:proofErr w:type="gramStart"/>
                  <w:r w:rsidRPr="00F01BA7">
                    <w:rPr>
                      <w:rFonts w:eastAsia="Times New Roman"/>
                      <w:sz w:val="18"/>
                      <w:szCs w:val="18"/>
                      <w:lang w:eastAsia="tr-TR"/>
                    </w:rPr>
                    <w:t>ortaöğretim</w:t>
                  </w:r>
                  <w:proofErr w:type="gramEnd"/>
                  <w:r w:rsidRPr="00F01BA7">
                    <w:rPr>
                      <w:rFonts w:eastAsia="Times New Roman"/>
                      <w:sz w:val="18"/>
                      <w:szCs w:val="18"/>
                      <w:lang w:eastAsia="tr-TR"/>
                    </w:rPr>
                    <w:t> kurumlarına geçiş yaparlar.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(2) Birinci fıkranın (a), (b), (c) ve (ç) bentlerinde belirtilen yerleştirme ve kayıtlara ilişkin usul ve esaslar, Bakanlıkça hazırlanan yönerge ve/veya kılavuz, (d) bendi ise genelge ile belirlenir.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(3) Ortaöğretime geçiş sistemine bağlı olarak yapılan yerleştirme ve kayıt işlemleri;</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a) Merkezi sınav puanı ile öğrenci alan okulların açık kontenjanlarına, puan üstünlüğüne göre,</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b) Ortaöğretim kayıt alanı içindeki okulların açık kontenjanlarına, tercihe bağlı olarak,</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c) Pansiyonlu okullarda belirlenen pansiyon kontenjanı kadar, il içinde uzaktan yakına ilkesi gözetilerek tercihe göre,</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ç) Merkezi sınav ile birlikte yetenek sınavı ile öğrenci alan okulların açık kontenjanlarına, puan üstünlüğüne göre,</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d) Güzel sanatlar liseleri, spor liseleri ile klasik sanatlar ve musiki, görsel sanatlar ve spor programı/projesi uygulayan Anadolu imam hatip liselerine yetenek sınav puanı ve OBP kullanılarak puan üstünlüğüne göre,</w:t>
                  </w:r>
                </w:p>
                <w:p w:rsidR="00F01BA7" w:rsidRPr="00F01BA7" w:rsidRDefault="00F01BA7" w:rsidP="00F01BA7">
                  <w:pPr>
                    <w:spacing w:after="0" w:line="240" w:lineRule="atLeast"/>
                    <w:ind w:firstLine="566"/>
                    <w:jc w:val="both"/>
                    <w:rPr>
                      <w:rFonts w:eastAsia="Times New Roman"/>
                      <w:sz w:val="19"/>
                      <w:szCs w:val="19"/>
                      <w:lang w:eastAsia="tr-TR"/>
                    </w:rPr>
                  </w:pPr>
                  <w:proofErr w:type="gramStart"/>
                  <w:r w:rsidRPr="00F01BA7">
                    <w:rPr>
                      <w:rFonts w:eastAsia="Times New Roman"/>
                      <w:sz w:val="18"/>
                      <w:szCs w:val="18"/>
                      <w:lang w:eastAsia="tr-TR"/>
                    </w:rPr>
                    <w:t>yapılır</w:t>
                  </w:r>
                  <w:proofErr w:type="gramEnd"/>
                  <w:r w:rsidRPr="00F01BA7">
                    <w:rPr>
                      <w:rFonts w:eastAsia="Times New Roman"/>
                      <w:sz w:val="18"/>
                      <w:szCs w:val="18"/>
                      <w:lang w:eastAsia="tr-TR"/>
                    </w:rPr>
                    <w:t>.</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(4) Özel ortaöğretim okullarına geçişler, </w:t>
                  </w:r>
                  <w:proofErr w:type="gramStart"/>
                  <w:r w:rsidRPr="00F01BA7">
                    <w:rPr>
                      <w:rFonts w:eastAsia="Times New Roman"/>
                      <w:sz w:val="18"/>
                      <w:szCs w:val="18"/>
                      <w:lang w:eastAsia="tr-TR"/>
                    </w:rPr>
                    <w:t>20/3/2012</w:t>
                  </w:r>
                  <w:proofErr w:type="gramEnd"/>
                  <w:r w:rsidRPr="00F01BA7">
                    <w:rPr>
                      <w:rFonts w:eastAsia="Times New Roman"/>
                      <w:sz w:val="18"/>
                      <w:szCs w:val="18"/>
                      <w:lang w:eastAsia="tr-TR"/>
                    </w:rPr>
                    <w:t xml:space="preserve"> tarihli ve 28239 sayılı Resmî </w:t>
                  </w:r>
                  <w:proofErr w:type="spellStart"/>
                  <w:r w:rsidRPr="00F01BA7">
                    <w:rPr>
                      <w:rFonts w:eastAsia="Times New Roman"/>
                      <w:sz w:val="18"/>
                      <w:szCs w:val="18"/>
                      <w:lang w:eastAsia="tr-TR"/>
                    </w:rPr>
                    <w:t>Gazete’de</w:t>
                  </w:r>
                  <w:proofErr w:type="spellEnd"/>
                  <w:r w:rsidRPr="00F01BA7">
                    <w:rPr>
                      <w:rFonts w:eastAsia="Times New Roman"/>
                      <w:sz w:val="18"/>
                      <w:szCs w:val="18"/>
                      <w:lang w:eastAsia="tr-TR"/>
                    </w:rPr>
                    <w:t xml:space="preserve"> yayımlanan Millî Eğitim Bakanlığı Özel Öğretim Kurumları Yönetmeliğinin ilgili hükümleri doğrultusunda yapılır.”</w:t>
                  </w:r>
                </w:p>
                <w:p w:rsidR="00F01BA7" w:rsidRPr="00F01BA7" w:rsidRDefault="00F01BA7" w:rsidP="00F01BA7">
                  <w:pPr>
                    <w:spacing w:after="0" w:line="240" w:lineRule="atLeast"/>
                    <w:ind w:firstLine="566"/>
                    <w:jc w:val="both"/>
                    <w:rPr>
                      <w:rFonts w:eastAsia="Times New Roman"/>
                      <w:sz w:val="19"/>
                      <w:szCs w:val="19"/>
                      <w:lang w:eastAsia="tr-TR"/>
                    </w:rPr>
                  </w:pPr>
                  <w:proofErr w:type="gramStart"/>
                  <w:r w:rsidRPr="00F01BA7">
                    <w:rPr>
                      <w:rFonts w:eastAsia="Times New Roman"/>
                      <w:b/>
                      <w:bCs/>
                      <w:sz w:val="18"/>
                      <w:szCs w:val="18"/>
                      <w:lang w:eastAsia="tr-TR"/>
                    </w:rPr>
                    <w:t>MADDE 6 –</w:t>
                  </w:r>
                  <w:r w:rsidRPr="00F01BA7">
                    <w:rPr>
                      <w:rFonts w:eastAsia="Times New Roman"/>
                      <w:sz w:val="18"/>
                      <w:szCs w:val="18"/>
                      <w:lang w:eastAsia="tr-TR"/>
                    </w:rPr>
                    <w:t xml:space="preserve"> Aynı Yönetmeliğin 23 üncü maddesinin birinci fıkrasının son cümlesi yürürlükten kaldırılmış; </w:t>
                  </w:r>
                  <w:r w:rsidRPr="00F01BA7">
                    <w:rPr>
                      <w:rFonts w:eastAsia="Times New Roman"/>
                      <w:sz w:val="18"/>
                      <w:szCs w:val="18"/>
                      <w:lang w:eastAsia="tr-TR"/>
                    </w:rPr>
                    <w:lastRenderedPageBreak/>
                    <w:t>ikinci fıkrasının mülga (a) bendi aşağıdaki şekilde yeniden düzenlenmiş; aynı fıkranın (b), (f) ve (ı) bentleri aşağıdaki şekilde değiştirilmiş; aynı fıkranın (ç) bendine “eşit sayıda olacak şekilde” ibaresinden sonra gelmek üzere “ortaöğretim kayıt alanı içinde tercihe bağlı olarak öğrenci alan” ibaresi eklenmiş; (g) bendinde yer alan “bakım tedbiri kararı verilen” ibaresi “bakım tedbiri kararı verilenlere birden fazla nakil,” olarak değiştirilmiş ve aynı bende “bir defaya mahsus olmak üzere,” ibaresinden sonra gelmek üzere “ortaöğretim kayıt alanı içinde tercihe bağlı olarak öğrenci alan okullara; merkezi sınav puanıyla öğrenci alan okullardan gelen öğrencileri ise” ibaresi eklenmiştir.</w:t>
                  </w:r>
                  <w:proofErr w:type="gramEnd"/>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“a) 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“b)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“f)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“ı)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F01BA7" w:rsidRPr="00F01BA7" w:rsidRDefault="00F01BA7" w:rsidP="00F01BA7">
                  <w:pPr>
                    <w:spacing w:after="0" w:line="240" w:lineRule="atLeast"/>
                    <w:ind w:firstLine="566"/>
                    <w:jc w:val="both"/>
                    <w:rPr>
                      <w:rFonts w:eastAsia="Times New Roman"/>
                      <w:sz w:val="19"/>
                      <w:szCs w:val="19"/>
                      <w:lang w:eastAsia="tr-TR"/>
                    </w:rPr>
                  </w:pPr>
                  <w:proofErr w:type="gramStart"/>
                  <w:r w:rsidRPr="00F01BA7">
                    <w:rPr>
                      <w:rFonts w:eastAsia="Times New Roman"/>
                      <w:b/>
                      <w:bCs/>
                      <w:sz w:val="18"/>
                      <w:szCs w:val="18"/>
                      <w:lang w:eastAsia="tr-TR"/>
                    </w:rPr>
                    <w:t>MADDE 7 –</w:t>
                  </w:r>
                  <w:r w:rsidRPr="00F01BA7">
                    <w:rPr>
                      <w:rFonts w:eastAsia="Times New Roman"/>
                      <w:sz w:val="18"/>
                      <w:szCs w:val="18"/>
                      <w:lang w:eastAsia="tr-TR"/>
                    </w:rPr>
                    <w:t> Aynı Yönetmeliğin 25 inci maddesinin birinci fıkrasının (b) ve (c) bentleri aşağıdaki şekilde değiştirilmiş, ikinci fıkrasının (a) bendinde yer alan “kontenjanla tercih ve yerleştirmeye” ibaresi “kontenjan ile tercih, yerleştirme ve kayıt işlemlerine” olarak, aynı fıkranın (b) bendinde yer alan “ve yerleştirmeye esas puan” ibaresi “ile OBP” olarak değiştirilmiştir.</w:t>
                  </w:r>
                  <w:proofErr w:type="gramEnd"/>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“b)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c) Spor liselerinde 9 uncu sınıfa her yıl alınacak öğrenci sayısı 5 şube, güzel sanatlar liselerinde ise her bir alana alınacak öğrenci sayısı 2’şer şube olması esastır.”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8 –</w:t>
                  </w:r>
                  <w:r w:rsidRPr="00F01BA7">
                    <w:rPr>
                      <w:rFonts w:eastAsia="Times New Roman"/>
                      <w:sz w:val="18"/>
                      <w:szCs w:val="18"/>
                      <w:lang w:eastAsia="tr-TR"/>
                    </w:rPr>
                    <w:t> Aynı Yönetmeliğin 27 </w:t>
                  </w:r>
                  <w:proofErr w:type="spellStart"/>
                  <w:r w:rsidRPr="00F01BA7">
                    <w:rPr>
                      <w:rFonts w:eastAsia="Times New Roman"/>
                      <w:sz w:val="18"/>
                      <w:szCs w:val="18"/>
                      <w:lang w:eastAsia="tr-TR"/>
                    </w:rPr>
                    <w:t>nci</w:t>
                  </w:r>
                  <w:proofErr w:type="spellEnd"/>
                  <w:r w:rsidRPr="00F01BA7">
                    <w:rPr>
                      <w:rFonts w:eastAsia="Times New Roman"/>
                      <w:sz w:val="18"/>
                      <w:szCs w:val="18"/>
                      <w:lang w:eastAsia="tr-TR"/>
                    </w:rPr>
                    <w:t> maddesinin ikinci fıkrası aşağıdaki şekilde değiştirilmiştir.</w:t>
                  </w:r>
                </w:p>
                <w:p w:rsidR="00F01BA7" w:rsidRPr="00F01BA7" w:rsidRDefault="00F01BA7" w:rsidP="00F01BA7">
                  <w:pPr>
                    <w:spacing w:after="0" w:line="240" w:lineRule="atLeast"/>
                    <w:ind w:firstLine="566"/>
                    <w:jc w:val="both"/>
                    <w:rPr>
                      <w:rFonts w:eastAsia="Times New Roman"/>
                      <w:sz w:val="19"/>
                      <w:szCs w:val="19"/>
                      <w:lang w:eastAsia="tr-TR"/>
                    </w:rPr>
                  </w:pPr>
                  <w:proofErr w:type="gramStart"/>
                  <w:r w:rsidRPr="00F01BA7">
                    <w:rPr>
                      <w:rFonts w:eastAsia="Times New Roman"/>
                      <w:sz w:val="18"/>
                      <w:szCs w:val="18"/>
                      <w:lang w:eastAsia="tr-TR"/>
                    </w:rPr>
                    <w:t>“(2)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w:t>
                  </w:r>
                  <w:proofErr w:type="gramEnd"/>
                  <w:r w:rsidRPr="00F01BA7">
                    <w:rPr>
                      <w:rFonts w:eastAsia="Times New Roman"/>
                      <w:sz w:val="18"/>
                      <w:szCs w:val="18"/>
                      <w:lang w:eastAsia="tr-TR"/>
                    </w:rPr>
                    <w:t>Bu öğrencilerin nakli yapılan okuldan bir başka okula naklinde de bu fıkra hükümleri uygulanır.”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9 –</w:t>
                  </w:r>
                  <w:r w:rsidRPr="00F01BA7">
                    <w:rPr>
                      <w:rFonts w:eastAsia="Times New Roman"/>
                      <w:sz w:val="18"/>
                      <w:szCs w:val="18"/>
                      <w:lang w:eastAsia="tr-TR"/>
                    </w:rPr>
                    <w:t> Aynı Yönetmeliğin 30 uncu maddesinin birinci fıkrası aşağıdaki şekilde değiştirilmiş ve ikinci fıkrası yürürlükten kaldırılmıştır.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“(1)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10 –</w:t>
                  </w:r>
                  <w:r w:rsidRPr="00F01BA7">
                    <w:rPr>
                      <w:rFonts w:eastAsia="Times New Roman"/>
                      <w:sz w:val="18"/>
                      <w:szCs w:val="18"/>
                      <w:lang w:eastAsia="tr-TR"/>
                    </w:rPr>
                    <w:t> Aynı Yönetmeliğin 31 inci maddesinin birinci, ikinci ve üçüncü fıkraları aşağıdaki şekilde değiştirilmiş; beşinci fıkrasına “belgelendirmeleri şartıyla” ibaresinden sonra gelmek üzere “Anadolu meslek programlarında” ibaresi eklenmiştir.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“(1)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(2) Alan ve dala yerleştirme;</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 xml:space="preserve">b) Dala yerleştirme işlemleri 10 uncu sınıfın sonunda öğrencinin alan ortak eğitimindeki yetenek ve başarıları, sektörün ihtiyacı, öğrenci ve velilerin talepleri ve grup oluşturma sayıları dikkate alınarak ilgili okul müdürlüğünce </w:t>
                  </w:r>
                  <w:r w:rsidRPr="00F01BA7">
                    <w:rPr>
                      <w:rFonts w:eastAsia="Times New Roman"/>
                      <w:sz w:val="18"/>
                      <w:szCs w:val="18"/>
                      <w:lang w:eastAsia="tr-TR"/>
                    </w:rPr>
                    <w:lastRenderedPageBreak/>
                    <w:t>yapılır. Tercihlerin belli dallarda yoğunlaşması hâlinde 10 uncu sınıf yılsonu başarı puanı yüksek olanlara öncelik verilir.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(3)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11 –</w:t>
                  </w:r>
                  <w:r w:rsidRPr="00F01BA7">
                    <w:rPr>
                      <w:rFonts w:eastAsia="Times New Roman"/>
                      <w:sz w:val="18"/>
                      <w:szCs w:val="18"/>
                      <w:lang w:eastAsia="tr-TR"/>
                    </w:rPr>
                    <w:t> Aynı Yönetmeliğin 37 </w:t>
                  </w:r>
                  <w:proofErr w:type="spellStart"/>
                  <w:r w:rsidRPr="00F01BA7">
                    <w:rPr>
                      <w:rFonts w:eastAsia="Times New Roman"/>
                      <w:sz w:val="18"/>
                      <w:szCs w:val="18"/>
                      <w:lang w:eastAsia="tr-TR"/>
                    </w:rPr>
                    <w:t>nci</w:t>
                  </w:r>
                  <w:proofErr w:type="spellEnd"/>
                  <w:r w:rsidRPr="00F01BA7">
                    <w:rPr>
                      <w:rFonts w:eastAsia="Times New Roman"/>
                      <w:sz w:val="18"/>
                      <w:szCs w:val="18"/>
                      <w:lang w:eastAsia="tr-TR"/>
                    </w:rPr>
                    <w:t> maddesi aşağıdaki şekilde değiştirilmiştir.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37 –</w:t>
                  </w:r>
                  <w:r w:rsidRPr="00F01BA7">
                    <w:rPr>
                      <w:rFonts w:eastAsia="Times New Roman"/>
                      <w:sz w:val="18"/>
                      <w:szCs w:val="18"/>
                      <w:lang w:eastAsia="tr-TR"/>
                    </w:rPr>
                    <w:t> (1) Fen liseleri, sosyal bilimler liseleri, proje uygulayan eğitim kurumları ile Anadolu teknik programlarına nakil ve geçişler;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a) Okul türlerinin her birinin kendi arasında her sınıf seviyesinde,</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b) Fen liseleri, sosyal bilimler liseleri ile proje uygulayan eğitim kurumu olan Anadolu liselerinden Anadolu liselerine her sınıf seviyesinde,</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c) Proje uygulayan eğitim kurumu olan imam hatip liseleri ile Anadolu teknik programlarından aynı türden okullara her sınıf seviyesinde,</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ç) Okul türleri arasında boş kontenjan ve merkezi sınav puan üstünlüğüne göre 10 uncu sınıf sonuna kadar,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d) Sınavsız öğrenci alan okullardan bu okullara; kontenjan ve merkezi sınav puan üstünlüğüne göre 9 uncu sınıf sonuna kadar,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F01BA7" w:rsidRPr="00F01BA7" w:rsidRDefault="00F01BA7" w:rsidP="00F01BA7">
                  <w:pPr>
                    <w:spacing w:after="0" w:line="240" w:lineRule="atLeast"/>
                    <w:ind w:firstLine="566"/>
                    <w:jc w:val="both"/>
                    <w:rPr>
                      <w:rFonts w:eastAsia="Times New Roman"/>
                      <w:sz w:val="19"/>
                      <w:szCs w:val="19"/>
                      <w:lang w:eastAsia="tr-TR"/>
                    </w:rPr>
                  </w:pPr>
                  <w:proofErr w:type="gramStart"/>
                  <w:r w:rsidRPr="00F01BA7">
                    <w:rPr>
                      <w:rFonts w:eastAsia="Times New Roman"/>
                      <w:sz w:val="18"/>
                      <w:szCs w:val="18"/>
                      <w:lang w:eastAsia="tr-TR"/>
                    </w:rPr>
                    <w:t>bu</w:t>
                  </w:r>
                  <w:proofErr w:type="gramEnd"/>
                  <w:r w:rsidRPr="00F01BA7">
                    <w:rPr>
                      <w:rFonts w:eastAsia="Times New Roman"/>
                      <w:sz w:val="18"/>
                      <w:szCs w:val="18"/>
                      <w:lang w:eastAsia="tr-TR"/>
                    </w:rPr>
                    <w:t> Yönetmelikte belirtilen süre içerisinde yapılır.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(2) Ortaöğretim kayıt alanındaki okullar arasında nakil ve geçişler;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a) Okul türlerinin her birinin kendi arasında her sınıf seviyesinde,</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b) Okul türleri arasında 10 uncu sınıf sonuna kadar,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F01BA7" w:rsidRPr="00F01BA7" w:rsidRDefault="00F01BA7" w:rsidP="00F01BA7">
                  <w:pPr>
                    <w:spacing w:after="0" w:line="240" w:lineRule="atLeast"/>
                    <w:ind w:firstLine="566"/>
                    <w:jc w:val="both"/>
                    <w:rPr>
                      <w:rFonts w:eastAsia="Times New Roman"/>
                      <w:sz w:val="19"/>
                      <w:szCs w:val="19"/>
                      <w:lang w:eastAsia="tr-TR"/>
                    </w:rPr>
                  </w:pPr>
                  <w:proofErr w:type="gramStart"/>
                  <w:r w:rsidRPr="00F01BA7">
                    <w:rPr>
                      <w:rFonts w:eastAsia="Times New Roman"/>
                      <w:sz w:val="18"/>
                      <w:szCs w:val="18"/>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roofErr w:type="gramEnd"/>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d) Mesleki ve teknik Anadolu liseleri, mesleki ve teknik eğitim merkezleri ile çok programlı Anadolu liseleri bünyesindeki program/alan/dallar arasında geçiş iş ve işlemleri bu fıkra kapsamında değerlendirilerek,</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e) Mesleki eğitim merkezlerinden Anadolu meslek programlarına 9 uncu sınıfın birinci dönemi sonuna kadar,</w:t>
                  </w:r>
                </w:p>
                <w:p w:rsidR="00F01BA7" w:rsidRPr="00F01BA7" w:rsidRDefault="00F01BA7" w:rsidP="00F01BA7">
                  <w:pPr>
                    <w:spacing w:after="0" w:line="240" w:lineRule="atLeast"/>
                    <w:ind w:firstLine="566"/>
                    <w:jc w:val="both"/>
                    <w:rPr>
                      <w:rFonts w:eastAsia="Times New Roman"/>
                      <w:sz w:val="19"/>
                      <w:szCs w:val="19"/>
                      <w:lang w:eastAsia="tr-TR"/>
                    </w:rPr>
                  </w:pPr>
                  <w:proofErr w:type="gramStart"/>
                  <w:r w:rsidRPr="00F01BA7">
                    <w:rPr>
                      <w:rFonts w:eastAsia="Times New Roman"/>
                      <w:sz w:val="18"/>
                      <w:szCs w:val="18"/>
                      <w:lang w:eastAsia="tr-TR"/>
                    </w:rPr>
                    <w:t>bu</w:t>
                  </w:r>
                  <w:proofErr w:type="gramEnd"/>
                  <w:r w:rsidRPr="00F01BA7">
                    <w:rPr>
                      <w:rFonts w:eastAsia="Times New Roman"/>
                      <w:sz w:val="18"/>
                      <w:szCs w:val="18"/>
                      <w:lang w:eastAsia="tr-TR"/>
                    </w:rPr>
                    <w:t> Yönetmelikte belirtilen süre içerisinde yapılır.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(3) Mesleki eğitim merkezi öğrencilerinin nakilleri; alan/dal bulunması ve naklen gidilmek istenilen yerleşim biriminde bir işletme ile sözleşme imzalamak kaydıyla zamana bakılmaksızın yapılır. Mesleki eğitim merkezlerinde 9 uncu sınıfın birinci dönemi sonuna kadar alan, 10 uncu sınıfın birinci dönemi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w:t>
                  </w:r>
                  <w:proofErr w:type="spellStart"/>
                  <w:r w:rsidRPr="00F01BA7">
                    <w:rPr>
                      <w:rFonts w:eastAsia="Times New Roman"/>
                      <w:sz w:val="18"/>
                      <w:szCs w:val="18"/>
                      <w:lang w:eastAsia="tr-TR"/>
                    </w:rPr>
                    <w:t>nci</w:t>
                  </w:r>
                  <w:proofErr w:type="spellEnd"/>
                  <w:r w:rsidRPr="00F01BA7">
                    <w:rPr>
                      <w:rFonts w:eastAsia="Times New Roman"/>
                      <w:sz w:val="18"/>
                      <w:szCs w:val="18"/>
                      <w:lang w:eastAsia="tr-TR"/>
                    </w:rPr>
                    <w:t> sınıflarından nakil gelmek isteyenlerin 10 uncu sınıfa nakilleri kabul edilir.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(4) Mesleki ve teknik ortaöğretim kurumlarının yetenek, mülakat, mülakat ve beden yeterliliği sınavıyla öğrenci alınan alanlarına, diğer alan ve ortaöğretim kurumlarından nakil ve geçiş yapılmaz.</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(5) Bu okullara, akşam liselerinden nakil ve geçiş yapılmaz.</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(7) Uluslararası Bakalorya (IB) Programı uygulayan okullara, diğer okullardan nakil ve geçiş yapacak öğrenciler kontenjan dışı değerlendirilir.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 xml:space="preserve">(8) Ortaöğretim kurumlarından, Araştırma-Geliştirme, Eğitim ve Uygulama Merkezi Anadolu Lisesine mülakat sınavıyla öğrenci geçişi yapılır. Bu öğrencilerden önceki okuluna dönmek isteyenler için kontenjan şartı </w:t>
                  </w:r>
                  <w:r w:rsidRPr="00F01BA7">
                    <w:rPr>
                      <w:rFonts w:eastAsia="Times New Roman"/>
                      <w:sz w:val="18"/>
                      <w:szCs w:val="18"/>
                      <w:lang w:eastAsia="tr-TR"/>
                    </w:rPr>
                    <w:lastRenderedPageBreak/>
                    <w:t>aranmaz. Yapılacak mülakat sınavı ile bu okulun işleyişine ilişkin usul ve esaslar, Bakanlıkça düzenlenir.”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12 –</w:t>
                  </w:r>
                  <w:r w:rsidRPr="00F01BA7">
                    <w:rPr>
                      <w:rFonts w:eastAsia="Times New Roman"/>
                      <w:sz w:val="18"/>
                      <w:szCs w:val="18"/>
                      <w:lang w:eastAsia="tr-TR"/>
                    </w:rPr>
                    <w:t> Aynı Yönetmeliğin 38 inci maddesinin birinci ve ikinci fıkraları aşağıdaki şekilde değiştirilmiş; dördüncü fıkrasına “a</w:t>
                  </w:r>
                  <w:proofErr w:type="gramStart"/>
                  <w:r w:rsidRPr="00F01BA7">
                    <w:rPr>
                      <w:rFonts w:eastAsia="Times New Roman"/>
                      <w:sz w:val="18"/>
                      <w:szCs w:val="18"/>
                      <w:lang w:eastAsia="tr-TR"/>
                    </w:rPr>
                    <w:t>)</w:t>
                  </w:r>
                  <w:proofErr w:type="gramEnd"/>
                  <w:r w:rsidRPr="00F01BA7">
                    <w:rPr>
                      <w:rFonts w:eastAsia="Times New Roman"/>
                      <w:sz w:val="18"/>
                      <w:szCs w:val="18"/>
                      <w:lang w:eastAsia="tr-TR"/>
                    </w:rPr>
                    <w:t> Nakil” ibaresinden önce gelmek üzere “Nakil ve geçiş işlemleri;” ibaresi, aynı fıkranın (a) bendine “dönem bitiminin öncesindeki üç hafta” ibaresinden sonra gelmek üzere “ile e-Okul sisteminde dönem ve sınıf atlatma süresi” ibaresi, “dilekçe ile” ibaresinden sonra gelmek üzere “veya e-Devlet üzerinden” ibaresi eklenmiş; aynı fıkranın (b) ve (c) bentleri aşağıdaki şekilde, yedinci fıkrasında yer alan “yerleştirmeye esas puan” ibaresi “OBP” olarak ve dokuzuncu fıkrası aşağıdaki şekilde değiştirilmiştir.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“(1) Ortaöğretim kurumları arasında nakil ve geçişler, 37 </w:t>
                  </w:r>
                  <w:proofErr w:type="spellStart"/>
                  <w:r w:rsidRPr="00F01BA7">
                    <w:rPr>
                      <w:rFonts w:eastAsia="Times New Roman"/>
                      <w:sz w:val="18"/>
                      <w:szCs w:val="18"/>
                      <w:lang w:eastAsia="tr-TR"/>
                    </w:rPr>
                    <w:t>nci</w:t>
                  </w:r>
                  <w:proofErr w:type="spellEnd"/>
                  <w:r w:rsidRPr="00F01BA7">
                    <w:rPr>
                      <w:rFonts w:eastAsia="Times New Roman"/>
                      <w:sz w:val="18"/>
                      <w:szCs w:val="18"/>
                      <w:lang w:eastAsia="tr-TR"/>
                    </w:rPr>
                    <w:t> madde hükümleri çerçevesinde;</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a) Merkezi sınavla öğrenci alan okulların açık kontenjanlarına merkezi sınav puan üstünlüğüne göre yapılır.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b) Ortaöğretim kayıt alanı içindeki okullara tercihe bağlı olarak yapılır. </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c) 23 üncü maddenin ikinci fıkrasının (g) bendi kapsamındaki öğrencilerin nakil ve geçiş işlemleri, bu maddenin ikinci fıkra hükümlerine göre okulların kontenjan durumları dikkate alınarak dengeli bir şekilde yapılır.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(2) Sınıf bazındaki açık kontenjanlar her bir şube için fen liseleri, sosyal bilimler liseleri, proje uygulayan eğitim kurumları ile Anadolu teknik programlarında 30, diğer okullarda ise 34 öğrenci olması esastır. </w:t>
                  </w:r>
                  <w:proofErr w:type="gramStart"/>
                  <w:r w:rsidRPr="00F01BA7">
                    <w:rPr>
                      <w:rFonts w:eastAsia="Times New Roman"/>
                      <w:sz w:val="18"/>
                      <w:szCs w:val="18"/>
                      <w:lang w:eastAsia="tr-TR"/>
                    </w:rPr>
                    <w:t>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roofErr w:type="gramEnd"/>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“b) Ortaöğretime geçiş sistemine bağlı olarak yapılan yerleştirmeye esas nakil işlemleri, merkezi sınav puanıyla öğrenci alan okullara merkezi sınav puan üstünlüğü dikkate alınarak okulların açık kontenjanlarına göre, ortaöğretim kayıt alanı içinde tercihe bağlı olarak öğrenci alan okullara Bakanlıkça hazırlanan yönerge ve/veya kılavuz hükümleri doğrultusunda yürütülür.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c) Hazırlık sınıfları ile 9 uncu sınıflardaki olağan nakil işlemleri, Bakanlıkça hazırlanan yönerge ve/veya kılavuz hükümlerine ve takvimine göre yerleştirme ve yerleştirmeye esas nakil işlemlerinin tamamlanmasından sonra yapılır.”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“(9) Bu madde kapsamında yapılan nakil ve geçişlerde; </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a) Merkezi sınavla öğrenci alan okullarda merkezi sınav puanının eşitliği hâlinde yaşı küçük olana,</w:t>
                  </w:r>
                </w:p>
                <w:p w:rsidR="00F01BA7" w:rsidRPr="00F01BA7" w:rsidRDefault="00F01BA7" w:rsidP="00F01BA7">
                  <w:pPr>
                    <w:spacing w:after="0" w:line="240" w:lineRule="atLeast"/>
                    <w:ind w:firstLine="566"/>
                    <w:jc w:val="both"/>
                    <w:rPr>
                      <w:rFonts w:eastAsia="Times New Roman"/>
                      <w:sz w:val="19"/>
                      <w:szCs w:val="19"/>
                      <w:lang w:eastAsia="tr-TR"/>
                    </w:rPr>
                  </w:pPr>
                  <w:proofErr w:type="gramStart"/>
                  <w:r w:rsidRPr="00F01BA7">
                    <w:rPr>
                      <w:rFonts w:eastAsia="Times New Roman"/>
                      <w:sz w:val="18"/>
                      <w:szCs w:val="18"/>
                      <w:lang w:eastAsia="tr-TR"/>
                    </w:rPr>
                    <w:t>b) Diğer okullarda başvurunun kontenjandan fazla olması durumunda 9 uncu sınıflarda sırasıyla; OBP, 8 inci, 7 </w:t>
                  </w:r>
                  <w:proofErr w:type="spellStart"/>
                  <w:r w:rsidRPr="00F01BA7">
                    <w:rPr>
                      <w:rFonts w:eastAsia="Times New Roman"/>
                      <w:sz w:val="18"/>
                      <w:szCs w:val="18"/>
                      <w:lang w:eastAsia="tr-TR"/>
                    </w:rPr>
                    <w:t>nci</w:t>
                  </w:r>
                  <w:proofErr w:type="spellEnd"/>
                  <w:r w:rsidRPr="00F01BA7">
                    <w:rPr>
                      <w:rFonts w:eastAsia="Times New Roman"/>
                      <w:sz w:val="18"/>
                      <w:szCs w:val="18"/>
                      <w:lang w:eastAsia="tr-TR"/>
                    </w:rPr>
                    <w:t> ve 6 </w:t>
                  </w:r>
                  <w:proofErr w:type="spellStart"/>
                  <w:r w:rsidRPr="00F01BA7">
                    <w:rPr>
                      <w:rFonts w:eastAsia="Times New Roman"/>
                      <w:sz w:val="18"/>
                      <w:szCs w:val="18"/>
                      <w:lang w:eastAsia="tr-TR"/>
                    </w:rPr>
                    <w:t>ncı</w:t>
                  </w:r>
                  <w:proofErr w:type="spellEnd"/>
                  <w:r w:rsidRPr="00F01BA7">
                    <w:rPr>
                      <w:rFonts w:eastAsia="Times New Roman"/>
                      <w:sz w:val="18"/>
                      <w:szCs w:val="18"/>
                      <w:lang w:eastAsia="tr-TR"/>
                    </w:rPr>
                    <w:t> sınıf yılsonu başarı puanı yüksek olana, eşitliğin bozulmaması hâlinde yaşı küçük olana; 10 uncu, 11 inci ve 12 </w:t>
                  </w:r>
                  <w:proofErr w:type="spellStart"/>
                  <w:r w:rsidRPr="00F01BA7">
                    <w:rPr>
                      <w:rFonts w:eastAsia="Times New Roman"/>
                      <w:sz w:val="18"/>
                      <w:szCs w:val="18"/>
                      <w:lang w:eastAsia="tr-TR"/>
                    </w:rPr>
                    <w:t>nci</w:t>
                  </w:r>
                  <w:proofErr w:type="spellEnd"/>
                  <w:r w:rsidRPr="00F01BA7">
                    <w:rPr>
                      <w:rFonts w:eastAsia="Times New Roman"/>
                      <w:sz w:val="18"/>
                      <w:szCs w:val="18"/>
                      <w:lang w:eastAsia="tr-TR"/>
                    </w:rPr>
                    <w:t> sınıflarda ise sırasıyla bir önceki sınıfın yılsonu başarı puanı yüksek olana, eşitlik yine bozulmaz ise yaşı küçük olana,</w:t>
                  </w:r>
                  <w:proofErr w:type="gramEnd"/>
                </w:p>
                <w:p w:rsidR="00F01BA7" w:rsidRPr="00F01BA7" w:rsidRDefault="00F01BA7" w:rsidP="00F01BA7">
                  <w:pPr>
                    <w:spacing w:after="0" w:line="240" w:lineRule="atLeast"/>
                    <w:ind w:firstLine="566"/>
                    <w:jc w:val="both"/>
                    <w:rPr>
                      <w:rFonts w:eastAsia="Times New Roman"/>
                      <w:sz w:val="19"/>
                      <w:szCs w:val="19"/>
                      <w:lang w:eastAsia="tr-TR"/>
                    </w:rPr>
                  </w:pPr>
                  <w:proofErr w:type="gramStart"/>
                  <w:r w:rsidRPr="00F01BA7">
                    <w:rPr>
                      <w:rFonts w:eastAsia="Times New Roman"/>
                      <w:sz w:val="18"/>
                      <w:szCs w:val="18"/>
                      <w:lang w:eastAsia="tr-TR"/>
                    </w:rPr>
                    <w:t>öncelik</w:t>
                  </w:r>
                  <w:proofErr w:type="gramEnd"/>
                  <w:r w:rsidRPr="00F01BA7">
                    <w:rPr>
                      <w:rFonts w:eastAsia="Times New Roman"/>
                      <w:sz w:val="18"/>
                      <w:szCs w:val="18"/>
                      <w:lang w:eastAsia="tr-TR"/>
                    </w:rPr>
                    <w:t> verilir.”</w:t>
                  </w:r>
                </w:p>
                <w:p w:rsidR="00F01BA7" w:rsidRPr="00F01BA7" w:rsidRDefault="00F01BA7" w:rsidP="00F01BA7">
                  <w:pPr>
                    <w:spacing w:after="0" w:line="240" w:lineRule="atLeast"/>
                    <w:ind w:firstLine="566"/>
                    <w:jc w:val="both"/>
                    <w:rPr>
                      <w:rFonts w:eastAsia="Times New Roman"/>
                      <w:sz w:val="19"/>
                      <w:szCs w:val="19"/>
                      <w:lang w:eastAsia="tr-TR"/>
                    </w:rPr>
                  </w:pPr>
                  <w:proofErr w:type="gramStart"/>
                  <w:r w:rsidRPr="00F01BA7">
                    <w:rPr>
                      <w:rFonts w:eastAsia="Times New Roman"/>
                      <w:b/>
                      <w:bCs/>
                      <w:sz w:val="18"/>
                      <w:szCs w:val="18"/>
                      <w:lang w:eastAsia="tr-TR"/>
                    </w:rPr>
                    <w:t>MADDE 13 –</w:t>
                  </w:r>
                  <w:r w:rsidRPr="00F01BA7">
                    <w:rPr>
                      <w:rFonts w:eastAsia="Times New Roman"/>
                      <w:sz w:val="18"/>
                      <w:szCs w:val="18"/>
                      <w:lang w:eastAsia="tr-TR"/>
                    </w:rPr>
                    <w:t> Aynı Yönetmeliğin 39 uncu maddesinin üçüncü fıkrasında yer alan “aralık ve mayıs ayları” ibaresi “dönem bitiminin öncesindeki üç hafta ile e-Okul sisteminde dönem ve sınıf atlatma süresi” olarak, “yerleştirmeye esas puanı” ibaresi “OBP” olarak değiştirilmiş; “dilekçe ile” ibaresinden sonra gelmek üzere “veya e-Devlet üzerinden” ibaresi ve aynı fıkraya aşağıdaki cümle eklenmiştir.</w:t>
                  </w:r>
                  <w:proofErr w:type="gramEnd"/>
                </w:p>
                <w:p w:rsidR="00F01BA7" w:rsidRPr="00F01BA7" w:rsidRDefault="00F01BA7" w:rsidP="00F01BA7">
                  <w:pPr>
                    <w:spacing w:after="0" w:line="240" w:lineRule="atLeast"/>
                    <w:jc w:val="both"/>
                    <w:rPr>
                      <w:rFonts w:eastAsia="Times New Roman"/>
                      <w:sz w:val="19"/>
                      <w:szCs w:val="19"/>
                      <w:lang w:eastAsia="tr-TR"/>
                    </w:rPr>
                  </w:pPr>
                  <w:r w:rsidRPr="00F01BA7">
                    <w:rPr>
                      <w:rFonts w:eastAsia="Times New Roman"/>
                      <w:sz w:val="18"/>
                      <w:szCs w:val="18"/>
                      <w:lang w:eastAsia="tr-TR"/>
                    </w:rPr>
                    <w:t>“Eşitlik hâlinde yaşı küçük olan öğrenciye öncelik verilir.”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14 –</w:t>
                  </w:r>
                  <w:r w:rsidRPr="00F01BA7">
                    <w:rPr>
                      <w:rFonts w:eastAsia="Times New Roman"/>
                      <w:sz w:val="18"/>
                      <w:szCs w:val="18"/>
                      <w:lang w:eastAsia="tr-TR"/>
                    </w:rPr>
                    <w:t> Aynı Yönetmeliğin 41 inci maddesinin birinci fıkrasının (a) bendinde yer alan “varsa Temel Eğitimden Ortaöğretime Geçiş Sistemi kapsamındaki yerleştirmeye esas puanla, yoksa” ibaresi “ortaöğretim kayıt alanı içinde tercihe bağlı olarak,” olarak, “mesleki ve teknik Anadolu liseleri” ibaresi “mesleki ve teknik Anadolu liselerinin Anadolu meslek programları,” olarak değiştirilmiştir.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15 –</w:t>
                  </w:r>
                  <w:r w:rsidRPr="00F01BA7">
                    <w:rPr>
                      <w:rFonts w:eastAsia="Times New Roman"/>
                      <w:sz w:val="18"/>
                      <w:szCs w:val="18"/>
                      <w:lang w:eastAsia="tr-TR"/>
                    </w:rPr>
                    <w:t> Aynı Yönetmeliğe aşağıdaki geçici madde eklenmiştir.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“Ortaöğretim kurumlarına yerleştirme, nakil ve geçişler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GEÇİCİ MADDE 9 –</w:t>
                  </w:r>
                  <w:r w:rsidRPr="00F01BA7">
                    <w:rPr>
                      <w:rFonts w:eastAsia="Times New Roman"/>
                      <w:sz w:val="18"/>
                      <w:szCs w:val="18"/>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Yürürlük</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16 –</w:t>
                  </w:r>
                  <w:r w:rsidRPr="00F01BA7">
                    <w:rPr>
                      <w:rFonts w:eastAsia="Times New Roman"/>
                      <w:sz w:val="18"/>
                      <w:szCs w:val="18"/>
                      <w:lang w:eastAsia="tr-TR"/>
                    </w:rPr>
                    <w:t> Bu Yönetmelik yayımı tarihinde yürürlüğe girer.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Yürütme</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b/>
                      <w:bCs/>
                      <w:sz w:val="18"/>
                      <w:szCs w:val="18"/>
                      <w:lang w:eastAsia="tr-TR"/>
                    </w:rPr>
                    <w:t>MADDE 17 –</w:t>
                  </w:r>
                  <w:r w:rsidRPr="00F01BA7">
                    <w:rPr>
                      <w:rFonts w:eastAsia="Times New Roman"/>
                      <w:sz w:val="18"/>
                      <w:szCs w:val="18"/>
                      <w:lang w:eastAsia="tr-TR"/>
                    </w:rPr>
                    <w:t> Bu Yönetmelik hükümlerini Millî Eğitim Bakanı yürütür.</w:t>
                  </w:r>
                </w:p>
                <w:p w:rsidR="00F01BA7" w:rsidRPr="00F01BA7" w:rsidRDefault="00F01BA7" w:rsidP="00F01BA7">
                  <w:pPr>
                    <w:spacing w:after="0" w:line="240" w:lineRule="atLeast"/>
                    <w:ind w:firstLine="566"/>
                    <w:jc w:val="both"/>
                    <w:rPr>
                      <w:rFonts w:eastAsia="Times New Roman"/>
                      <w:sz w:val="19"/>
                      <w:szCs w:val="19"/>
                      <w:lang w:eastAsia="tr-TR"/>
                    </w:rPr>
                  </w:pPr>
                  <w:r w:rsidRPr="00F01BA7">
                    <w:rPr>
                      <w:rFonts w:eastAsia="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F01BA7" w:rsidRPr="00F01BA7">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b/>
                            <w:bCs/>
                            <w:sz w:val="18"/>
                            <w:szCs w:val="18"/>
                            <w:lang w:eastAsia="tr-TR"/>
                          </w:rPr>
                          <w:t>Yönetmeliğin Yayımlandığı Resmî Gazete'nin</w:t>
                        </w:r>
                      </w:p>
                    </w:tc>
                  </w:tr>
                  <w:tr w:rsidR="00F01BA7" w:rsidRPr="00F01BA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b/>
                            <w:bCs/>
                            <w:sz w:val="18"/>
                            <w:szCs w:val="18"/>
                            <w:lang w:eastAsia="tr-TR"/>
                          </w:rPr>
                          <w:t>Sayısı</w:t>
                        </w:r>
                      </w:p>
                    </w:tc>
                  </w:tr>
                  <w:tr w:rsidR="00F01BA7" w:rsidRPr="00F01BA7">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jc w:val="center"/>
                          <w:rPr>
                            <w:rFonts w:eastAsia="Times New Roman"/>
                            <w:lang w:eastAsia="tr-TR"/>
                          </w:rPr>
                        </w:pPr>
                        <w:proofErr w:type="gramStart"/>
                        <w:r w:rsidRPr="00F01BA7">
                          <w:rPr>
                            <w:rFonts w:eastAsia="Times New Roman"/>
                            <w:sz w:val="18"/>
                            <w:szCs w:val="18"/>
                            <w:lang w:eastAsia="tr-TR"/>
                          </w:rPr>
                          <w:t>7/9/2013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jc w:val="center"/>
                          <w:rPr>
                            <w:rFonts w:eastAsia="Times New Roman"/>
                            <w:lang w:eastAsia="tr-TR"/>
                          </w:rPr>
                        </w:pPr>
                        <w:r w:rsidRPr="00F01BA7">
                          <w:rPr>
                            <w:rFonts w:eastAsia="Times New Roman"/>
                            <w:sz w:val="18"/>
                            <w:szCs w:val="18"/>
                            <w:lang w:eastAsia="tr-TR"/>
                          </w:rPr>
                          <w:t>28918</w:t>
                        </w:r>
                      </w:p>
                    </w:tc>
                  </w:tr>
                  <w:tr w:rsidR="00F01BA7" w:rsidRPr="00F01BA7">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b/>
                            <w:bCs/>
                            <w:sz w:val="18"/>
                            <w:szCs w:val="18"/>
                            <w:lang w:eastAsia="tr-TR"/>
                          </w:rPr>
                          <w:lastRenderedPageBreak/>
                          <w:t>Yönetmelikte Değişiklik Yapan Yönetmeliklerin Yayımlandığı Resmî Gazete'nin</w:t>
                        </w:r>
                      </w:p>
                    </w:tc>
                  </w:tr>
                  <w:tr w:rsidR="00F01BA7" w:rsidRPr="00F01BA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b/>
                            <w:bCs/>
                            <w:sz w:val="18"/>
                            <w:szCs w:val="18"/>
                            <w:lang w:eastAsia="tr-TR"/>
                          </w:rPr>
                          <w:t>Sayısı</w:t>
                        </w:r>
                      </w:p>
                    </w:tc>
                  </w:tr>
                  <w:tr w:rsidR="00F01BA7" w:rsidRPr="00F01B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ind w:right="327"/>
                          <w:jc w:val="center"/>
                          <w:rPr>
                            <w:rFonts w:eastAsia="Times New Roman"/>
                            <w:lang w:eastAsia="tr-TR"/>
                          </w:rPr>
                        </w:pPr>
                        <w:proofErr w:type="gramStart"/>
                        <w:r w:rsidRPr="00F01BA7">
                          <w:rPr>
                            <w:rFonts w:eastAsia="Times New Roman"/>
                            <w:sz w:val="18"/>
                            <w:szCs w:val="18"/>
                            <w:lang w:eastAsia="tr-TR"/>
                          </w:rPr>
                          <w:t>19/2/2014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jc w:val="center"/>
                          <w:rPr>
                            <w:rFonts w:eastAsia="Times New Roman"/>
                            <w:lang w:eastAsia="tr-TR"/>
                          </w:rPr>
                        </w:pPr>
                        <w:r w:rsidRPr="00F01BA7">
                          <w:rPr>
                            <w:rFonts w:eastAsia="Times New Roman"/>
                            <w:sz w:val="18"/>
                            <w:szCs w:val="18"/>
                            <w:lang w:eastAsia="tr-TR"/>
                          </w:rPr>
                          <w:t>28918</w:t>
                        </w:r>
                      </w:p>
                    </w:tc>
                  </w:tr>
                  <w:tr w:rsidR="00F01BA7" w:rsidRPr="00F01B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ind w:right="327"/>
                          <w:jc w:val="center"/>
                          <w:rPr>
                            <w:rFonts w:eastAsia="Times New Roman"/>
                            <w:lang w:eastAsia="tr-TR"/>
                          </w:rPr>
                        </w:pPr>
                        <w:proofErr w:type="gramStart"/>
                        <w:r w:rsidRPr="00F01BA7">
                          <w:rPr>
                            <w:rFonts w:eastAsia="Times New Roman"/>
                            <w:sz w:val="18"/>
                            <w:szCs w:val="18"/>
                            <w:lang w:eastAsia="tr-TR"/>
                          </w:rPr>
                          <w:t>21/6/2014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jc w:val="center"/>
                          <w:rPr>
                            <w:rFonts w:eastAsia="Times New Roman"/>
                            <w:lang w:eastAsia="tr-TR"/>
                          </w:rPr>
                        </w:pPr>
                        <w:r w:rsidRPr="00F01BA7">
                          <w:rPr>
                            <w:rFonts w:eastAsia="Times New Roman"/>
                            <w:sz w:val="18"/>
                            <w:szCs w:val="18"/>
                            <w:lang w:eastAsia="tr-TR"/>
                          </w:rPr>
                          <w:t>29037</w:t>
                        </w:r>
                      </w:p>
                    </w:tc>
                  </w:tr>
                  <w:tr w:rsidR="00F01BA7" w:rsidRPr="00F01B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ind w:right="327"/>
                          <w:jc w:val="center"/>
                          <w:rPr>
                            <w:rFonts w:eastAsia="Times New Roman"/>
                            <w:lang w:eastAsia="tr-TR"/>
                          </w:rPr>
                        </w:pPr>
                        <w:proofErr w:type="gramStart"/>
                        <w:r w:rsidRPr="00F01BA7">
                          <w:rPr>
                            <w:rFonts w:eastAsia="Times New Roman"/>
                            <w:sz w:val="18"/>
                            <w:szCs w:val="18"/>
                            <w:lang w:eastAsia="tr-TR"/>
                          </w:rPr>
                          <w:t>13/9/2014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jc w:val="center"/>
                          <w:rPr>
                            <w:rFonts w:eastAsia="Times New Roman"/>
                            <w:lang w:eastAsia="tr-TR"/>
                          </w:rPr>
                        </w:pPr>
                        <w:r w:rsidRPr="00F01BA7">
                          <w:rPr>
                            <w:rFonts w:eastAsia="Times New Roman"/>
                            <w:sz w:val="18"/>
                            <w:szCs w:val="18"/>
                            <w:lang w:eastAsia="tr-TR"/>
                          </w:rPr>
                          <w:t>29118</w:t>
                        </w:r>
                      </w:p>
                    </w:tc>
                  </w:tr>
                  <w:tr w:rsidR="00F01BA7" w:rsidRPr="00F01B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ind w:right="327"/>
                          <w:jc w:val="center"/>
                          <w:rPr>
                            <w:rFonts w:eastAsia="Times New Roman"/>
                            <w:lang w:eastAsia="tr-TR"/>
                          </w:rPr>
                        </w:pPr>
                        <w:proofErr w:type="gramStart"/>
                        <w:r w:rsidRPr="00F01BA7">
                          <w:rPr>
                            <w:rFonts w:eastAsia="Times New Roman"/>
                            <w:sz w:val="18"/>
                            <w:szCs w:val="18"/>
                            <w:lang w:eastAsia="tr-TR"/>
                          </w:rPr>
                          <w:t>1/7/2015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jc w:val="center"/>
                          <w:rPr>
                            <w:rFonts w:eastAsia="Times New Roman"/>
                            <w:lang w:eastAsia="tr-TR"/>
                          </w:rPr>
                        </w:pPr>
                        <w:r w:rsidRPr="00F01BA7">
                          <w:rPr>
                            <w:rFonts w:eastAsia="Times New Roman"/>
                            <w:sz w:val="18"/>
                            <w:szCs w:val="18"/>
                            <w:lang w:eastAsia="tr-TR"/>
                          </w:rPr>
                          <w:t>29403</w:t>
                        </w:r>
                      </w:p>
                    </w:tc>
                  </w:tr>
                  <w:tr w:rsidR="00F01BA7" w:rsidRPr="00F01B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ind w:right="327"/>
                          <w:jc w:val="center"/>
                          <w:rPr>
                            <w:rFonts w:eastAsia="Times New Roman"/>
                            <w:lang w:eastAsia="tr-TR"/>
                          </w:rPr>
                        </w:pPr>
                        <w:proofErr w:type="gramStart"/>
                        <w:r w:rsidRPr="00F01BA7">
                          <w:rPr>
                            <w:rFonts w:eastAsia="Times New Roman"/>
                            <w:sz w:val="18"/>
                            <w:szCs w:val="18"/>
                            <w:lang w:eastAsia="tr-TR"/>
                          </w:rPr>
                          <w:t>28/10/2016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jc w:val="center"/>
                          <w:rPr>
                            <w:rFonts w:eastAsia="Times New Roman"/>
                            <w:lang w:eastAsia="tr-TR"/>
                          </w:rPr>
                        </w:pPr>
                        <w:r w:rsidRPr="00F01BA7">
                          <w:rPr>
                            <w:rFonts w:eastAsia="Times New Roman"/>
                            <w:sz w:val="18"/>
                            <w:szCs w:val="18"/>
                            <w:lang w:eastAsia="tr-TR"/>
                          </w:rPr>
                          <w:t>29871</w:t>
                        </w:r>
                      </w:p>
                    </w:tc>
                  </w:tr>
                  <w:tr w:rsidR="00F01BA7" w:rsidRPr="00F01B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ind w:right="327"/>
                          <w:jc w:val="center"/>
                          <w:rPr>
                            <w:rFonts w:eastAsia="Times New Roman"/>
                            <w:lang w:eastAsia="tr-TR"/>
                          </w:rPr>
                        </w:pPr>
                        <w:proofErr w:type="gramStart"/>
                        <w:r w:rsidRPr="00F01BA7">
                          <w:rPr>
                            <w:rFonts w:eastAsia="Times New Roman"/>
                            <w:sz w:val="18"/>
                            <w:szCs w:val="18"/>
                            <w:lang w:eastAsia="tr-TR"/>
                          </w:rPr>
                          <w:t>26/3/2017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jc w:val="center"/>
                          <w:rPr>
                            <w:rFonts w:eastAsia="Times New Roman"/>
                            <w:lang w:eastAsia="tr-TR"/>
                          </w:rPr>
                        </w:pPr>
                        <w:r w:rsidRPr="00F01BA7">
                          <w:rPr>
                            <w:rFonts w:eastAsia="Times New Roman"/>
                            <w:sz w:val="18"/>
                            <w:szCs w:val="18"/>
                            <w:lang w:eastAsia="tr-TR"/>
                          </w:rPr>
                          <w:t>30019</w:t>
                        </w:r>
                      </w:p>
                    </w:tc>
                  </w:tr>
                  <w:tr w:rsidR="00F01BA7" w:rsidRPr="00F01B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BA7" w:rsidRPr="00F01BA7" w:rsidRDefault="00F01BA7" w:rsidP="00F01BA7">
                        <w:pPr>
                          <w:spacing w:after="0" w:line="240" w:lineRule="atLeast"/>
                          <w:jc w:val="center"/>
                          <w:rPr>
                            <w:rFonts w:eastAsia="Times New Roman"/>
                            <w:lang w:eastAsia="tr-TR"/>
                          </w:rPr>
                        </w:pPr>
                        <w:r w:rsidRPr="00F01BA7">
                          <w:rPr>
                            <w:rFonts w:eastAsia="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ind w:right="327"/>
                          <w:jc w:val="center"/>
                          <w:rPr>
                            <w:rFonts w:eastAsia="Times New Roman"/>
                            <w:lang w:eastAsia="tr-TR"/>
                          </w:rPr>
                        </w:pPr>
                        <w:proofErr w:type="gramStart"/>
                        <w:r w:rsidRPr="00F01BA7">
                          <w:rPr>
                            <w:rFonts w:eastAsia="Times New Roman"/>
                            <w:sz w:val="18"/>
                            <w:szCs w:val="18"/>
                            <w:lang w:eastAsia="tr-TR"/>
                          </w:rPr>
                          <w:t>16/9/2017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1BA7" w:rsidRPr="00F01BA7" w:rsidRDefault="00F01BA7" w:rsidP="00F01BA7">
                        <w:pPr>
                          <w:spacing w:after="0" w:line="240" w:lineRule="auto"/>
                          <w:jc w:val="center"/>
                          <w:rPr>
                            <w:rFonts w:eastAsia="Times New Roman"/>
                            <w:lang w:eastAsia="tr-TR"/>
                          </w:rPr>
                        </w:pPr>
                        <w:r w:rsidRPr="00F01BA7">
                          <w:rPr>
                            <w:rFonts w:eastAsia="Times New Roman"/>
                            <w:sz w:val="18"/>
                            <w:szCs w:val="18"/>
                            <w:lang w:eastAsia="tr-TR"/>
                          </w:rPr>
                          <w:t>30182</w:t>
                        </w:r>
                      </w:p>
                    </w:tc>
                  </w:tr>
                </w:tbl>
                <w:p w:rsidR="00F01BA7" w:rsidRPr="00F01BA7" w:rsidRDefault="00F01BA7" w:rsidP="00F01BA7">
                  <w:pPr>
                    <w:spacing w:after="0" w:line="240" w:lineRule="auto"/>
                    <w:rPr>
                      <w:rFonts w:eastAsia="Times New Roman"/>
                      <w:lang w:eastAsia="tr-TR"/>
                    </w:rPr>
                  </w:pPr>
                </w:p>
              </w:tc>
            </w:tr>
          </w:tbl>
          <w:p w:rsidR="00F01BA7" w:rsidRPr="00F01BA7" w:rsidRDefault="00F01BA7" w:rsidP="00F01BA7">
            <w:pPr>
              <w:spacing w:after="0" w:line="240" w:lineRule="auto"/>
              <w:rPr>
                <w:rFonts w:eastAsia="Times New Roman"/>
                <w:lang w:eastAsia="tr-TR"/>
              </w:rPr>
            </w:pPr>
          </w:p>
        </w:tc>
      </w:tr>
    </w:tbl>
    <w:p w:rsidR="00F01BA7" w:rsidRPr="00F01BA7" w:rsidRDefault="00F01BA7" w:rsidP="00F01BA7">
      <w:pPr>
        <w:spacing w:after="0" w:line="240" w:lineRule="auto"/>
        <w:jc w:val="center"/>
        <w:rPr>
          <w:rFonts w:eastAsia="Times New Roman"/>
          <w:color w:val="000000"/>
          <w:sz w:val="27"/>
          <w:szCs w:val="27"/>
          <w:lang w:eastAsia="tr-TR"/>
        </w:rPr>
      </w:pPr>
      <w:r w:rsidRPr="00F01BA7">
        <w:rPr>
          <w:rFonts w:eastAsia="Times New Roman"/>
          <w:color w:val="000000"/>
          <w:sz w:val="27"/>
          <w:szCs w:val="27"/>
          <w:lang w:eastAsia="tr-TR"/>
        </w:rPr>
        <w:lastRenderedPageBreak/>
        <w:t> </w:t>
      </w:r>
    </w:p>
    <w:p w:rsidR="007536DA" w:rsidRDefault="007536DA">
      <w:bookmarkStart w:id="0" w:name="_GoBack"/>
      <w:bookmarkEnd w:id="0"/>
    </w:p>
    <w:sectPr w:rsidR="00753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A7"/>
    <w:rsid w:val="007536DA"/>
    <w:rsid w:val="00F01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1BA7"/>
    <w:pPr>
      <w:spacing w:before="100" w:beforeAutospacing="1" w:after="100" w:afterAutospacing="1" w:line="240" w:lineRule="auto"/>
    </w:pPr>
    <w:rPr>
      <w:rFonts w:eastAsia="Times New Roman"/>
      <w:lang w:eastAsia="tr-TR"/>
    </w:rPr>
  </w:style>
  <w:style w:type="paragraph" w:customStyle="1" w:styleId="balk11pt">
    <w:name w:val="balk11pt"/>
    <w:basedOn w:val="Normal"/>
    <w:rsid w:val="00F01BA7"/>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F01BA7"/>
    <w:pPr>
      <w:spacing w:before="100" w:beforeAutospacing="1" w:after="100" w:afterAutospacing="1" w:line="240" w:lineRule="auto"/>
    </w:pPr>
    <w:rPr>
      <w:rFonts w:eastAsia="Times New Roman"/>
      <w:lang w:eastAsia="tr-TR"/>
    </w:rPr>
  </w:style>
  <w:style w:type="paragraph" w:customStyle="1" w:styleId="metin">
    <w:name w:val="metin"/>
    <w:basedOn w:val="Normal"/>
    <w:rsid w:val="00F01BA7"/>
    <w:pPr>
      <w:spacing w:before="100" w:beforeAutospacing="1" w:after="100" w:afterAutospacing="1" w:line="240" w:lineRule="auto"/>
    </w:pPr>
    <w:rPr>
      <w:rFonts w:eastAsia="Times New Roman"/>
      <w:lang w:eastAsia="tr-TR"/>
    </w:rPr>
  </w:style>
  <w:style w:type="character" w:customStyle="1" w:styleId="grame">
    <w:name w:val="grame"/>
    <w:basedOn w:val="VarsaylanParagrafYazTipi"/>
    <w:rsid w:val="00F01BA7"/>
  </w:style>
  <w:style w:type="character" w:customStyle="1" w:styleId="spelle">
    <w:name w:val="spelle"/>
    <w:basedOn w:val="VarsaylanParagrafYazTipi"/>
    <w:rsid w:val="00F01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1BA7"/>
    <w:pPr>
      <w:spacing w:before="100" w:beforeAutospacing="1" w:after="100" w:afterAutospacing="1" w:line="240" w:lineRule="auto"/>
    </w:pPr>
    <w:rPr>
      <w:rFonts w:eastAsia="Times New Roman"/>
      <w:lang w:eastAsia="tr-TR"/>
    </w:rPr>
  </w:style>
  <w:style w:type="paragraph" w:customStyle="1" w:styleId="balk11pt">
    <w:name w:val="balk11pt"/>
    <w:basedOn w:val="Normal"/>
    <w:rsid w:val="00F01BA7"/>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F01BA7"/>
    <w:pPr>
      <w:spacing w:before="100" w:beforeAutospacing="1" w:after="100" w:afterAutospacing="1" w:line="240" w:lineRule="auto"/>
    </w:pPr>
    <w:rPr>
      <w:rFonts w:eastAsia="Times New Roman"/>
      <w:lang w:eastAsia="tr-TR"/>
    </w:rPr>
  </w:style>
  <w:style w:type="paragraph" w:customStyle="1" w:styleId="metin">
    <w:name w:val="metin"/>
    <w:basedOn w:val="Normal"/>
    <w:rsid w:val="00F01BA7"/>
    <w:pPr>
      <w:spacing w:before="100" w:beforeAutospacing="1" w:after="100" w:afterAutospacing="1" w:line="240" w:lineRule="auto"/>
    </w:pPr>
    <w:rPr>
      <w:rFonts w:eastAsia="Times New Roman"/>
      <w:lang w:eastAsia="tr-TR"/>
    </w:rPr>
  </w:style>
  <w:style w:type="character" w:customStyle="1" w:styleId="grame">
    <w:name w:val="grame"/>
    <w:basedOn w:val="VarsaylanParagrafYazTipi"/>
    <w:rsid w:val="00F01BA7"/>
  </w:style>
  <w:style w:type="character" w:customStyle="1" w:styleId="spelle">
    <w:name w:val="spelle"/>
    <w:basedOn w:val="VarsaylanParagrafYazTipi"/>
    <w:rsid w:val="00F01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2993</Words>
  <Characters>17063</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1</cp:revision>
  <cp:lastPrinted>2018-02-14T06:24:00Z</cp:lastPrinted>
  <dcterms:created xsi:type="dcterms:W3CDTF">2018-02-14T06:24:00Z</dcterms:created>
  <dcterms:modified xsi:type="dcterms:W3CDTF">2018-02-14T06:25:00Z</dcterms:modified>
</cp:coreProperties>
</file>