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3E041A" w:rsidRPr="003E041A" w:rsidTr="003E041A">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E041A" w:rsidRPr="003E041A">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041A" w:rsidRPr="003E041A" w:rsidRDefault="003E041A" w:rsidP="003E041A">
                  <w:pPr>
                    <w:spacing w:after="0" w:line="240" w:lineRule="atLeast"/>
                    <w:rPr>
                      <w:rFonts w:eastAsia="Times New Roman"/>
                      <w:lang w:eastAsia="tr-TR"/>
                    </w:rPr>
                  </w:pPr>
                  <w:r w:rsidRPr="003E041A">
                    <w:rPr>
                      <w:rFonts w:ascii="Arial" w:eastAsia="Times New Roman" w:hAnsi="Arial" w:cs="Arial"/>
                      <w:sz w:val="16"/>
                      <w:szCs w:val="16"/>
                      <w:lang w:eastAsia="tr-TR"/>
                    </w:rPr>
                    <w:t>4 Temmuz 2015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041A" w:rsidRPr="003E041A" w:rsidRDefault="003E041A" w:rsidP="003E041A">
                  <w:pPr>
                    <w:spacing w:after="0" w:line="240" w:lineRule="atLeast"/>
                    <w:jc w:val="center"/>
                    <w:rPr>
                      <w:rFonts w:eastAsia="Times New Roman"/>
                      <w:lang w:eastAsia="tr-TR"/>
                    </w:rPr>
                  </w:pPr>
                  <w:r w:rsidRPr="003E041A">
                    <w:rPr>
                      <w:rFonts w:ascii="Palatino Linotype" w:eastAsia="Times New Roman" w:hAnsi="Palatino Linotype"/>
                      <w:b/>
                      <w:bCs/>
                      <w:color w:val="800080"/>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041A" w:rsidRPr="003E041A" w:rsidRDefault="003E041A" w:rsidP="003E041A">
                  <w:pPr>
                    <w:spacing w:before="100" w:beforeAutospacing="1" w:after="100" w:afterAutospacing="1" w:line="240" w:lineRule="auto"/>
                    <w:jc w:val="right"/>
                    <w:rPr>
                      <w:rFonts w:eastAsia="Times New Roman"/>
                      <w:lang w:eastAsia="tr-TR"/>
                    </w:rPr>
                  </w:pPr>
                  <w:proofErr w:type="gramStart"/>
                  <w:r w:rsidRPr="003E041A">
                    <w:rPr>
                      <w:rFonts w:ascii="Arial" w:eastAsia="Times New Roman" w:hAnsi="Arial" w:cs="Arial"/>
                      <w:sz w:val="16"/>
                      <w:szCs w:val="16"/>
                      <w:lang w:eastAsia="tr-TR"/>
                    </w:rPr>
                    <w:t>Sayı : 29406</w:t>
                  </w:r>
                  <w:proofErr w:type="gramEnd"/>
                </w:p>
              </w:tc>
            </w:tr>
            <w:tr w:rsidR="003E041A" w:rsidRPr="003E041A">
              <w:trPr>
                <w:trHeight w:val="480"/>
                <w:jc w:val="center"/>
              </w:trPr>
              <w:tc>
                <w:tcPr>
                  <w:tcW w:w="8789" w:type="dxa"/>
                  <w:gridSpan w:val="3"/>
                  <w:tcMar>
                    <w:top w:w="0" w:type="dxa"/>
                    <w:left w:w="108" w:type="dxa"/>
                    <w:bottom w:w="0" w:type="dxa"/>
                    <w:right w:w="108" w:type="dxa"/>
                  </w:tcMar>
                  <w:vAlign w:val="center"/>
                  <w:hideMark/>
                </w:tcPr>
                <w:p w:rsidR="003E041A" w:rsidRPr="003E041A" w:rsidRDefault="003E041A" w:rsidP="003E041A">
                  <w:pPr>
                    <w:spacing w:before="100" w:beforeAutospacing="1" w:after="100" w:afterAutospacing="1" w:line="240" w:lineRule="auto"/>
                    <w:jc w:val="center"/>
                    <w:rPr>
                      <w:rFonts w:eastAsia="Times New Roman"/>
                      <w:lang w:eastAsia="tr-TR"/>
                    </w:rPr>
                  </w:pPr>
                  <w:r w:rsidRPr="003E041A">
                    <w:rPr>
                      <w:rFonts w:ascii="Arial" w:eastAsia="Times New Roman" w:hAnsi="Arial" w:cs="Arial"/>
                      <w:b/>
                      <w:bCs/>
                      <w:color w:val="000080"/>
                      <w:sz w:val="18"/>
                      <w:szCs w:val="18"/>
                      <w:lang w:eastAsia="tr-TR"/>
                    </w:rPr>
                    <w:t>YÖNETMELİK</w:t>
                  </w:r>
                </w:p>
              </w:tc>
            </w:tr>
            <w:tr w:rsidR="003E041A" w:rsidRPr="003E041A">
              <w:trPr>
                <w:trHeight w:val="480"/>
                <w:jc w:val="center"/>
              </w:trPr>
              <w:tc>
                <w:tcPr>
                  <w:tcW w:w="8789" w:type="dxa"/>
                  <w:gridSpan w:val="3"/>
                  <w:tcMar>
                    <w:top w:w="0" w:type="dxa"/>
                    <w:left w:w="108" w:type="dxa"/>
                    <w:bottom w:w="0" w:type="dxa"/>
                    <w:right w:w="108" w:type="dxa"/>
                  </w:tcMar>
                  <w:vAlign w:val="center"/>
                  <w:hideMark/>
                </w:tcPr>
                <w:p w:rsidR="003E041A" w:rsidRPr="003E041A" w:rsidRDefault="003E041A" w:rsidP="003E041A">
                  <w:pPr>
                    <w:spacing w:after="0" w:line="240" w:lineRule="atLeast"/>
                    <w:ind w:firstLine="566"/>
                    <w:jc w:val="both"/>
                    <w:rPr>
                      <w:rFonts w:eastAsia="Times New Roman"/>
                      <w:sz w:val="22"/>
                      <w:szCs w:val="22"/>
                      <w:u w:val="single"/>
                      <w:lang w:eastAsia="tr-TR"/>
                    </w:rPr>
                  </w:pPr>
                  <w:r w:rsidRPr="003E041A">
                    <w:rPr>
                      <w:rFonts w:eastAsia="Times New Roman"/>
                      <w:sz w:val="18"/>
                      <w:szCs w:val="18"/>
                      <w:u w:val="single"/>
                      <w:lang w:eastAsia="tr-TR"/>
                    </w:rPr>
                    <w:t>Millî Eğitim Bakanlığından:</w:t>
                  </w:r>
                </w:p>
                <w:p w:rsidR="003E041A" w:rsidRPr="003E041A" w:rsidRDefault="003E041A" w:rsidP="003E041A">
                  <w:pPr>
                    <w:spacing w:after="0" w:line="240" w:lineRule="atLeast"/>
                    <w:jc w:val="center"/>
                    <w:rPr>
                      <w:rFonts w:eastAsia="Times New Roman"/>
                      <w:b/>
                      <w:bCs/>
                      <w:sz w:val="19"/>
                      <w:szCs w:val="19"/>
                      <w:lang w:eastAsia="tr-TR"/>
                    </w:rPr>
                  </w:pPr>
                  <w:r w:rsidRPr="003E041A">
                    <w:rPr>
                      <w:rFonts w:eastAsia="Times New Roman"/>
                      <w:b/>
                      <w:bCs/>
                      <w:sz w:val="18"/>
                      <w:szCs w:val="18"/>
                      <w:lang w:eastAsia="tr-TR"/>
                    </w:rPr>
                    <w:t>MİLLÎ EĞİTİM BAKANLIĞI ÖĞRETMEN ATAMA VE YER DEĞİŞTİRME</w:t>
                  </w:r>
                </w:p>
                <w:p w:rsidR="003E041A" w:rsidRPr="003E041A" w:rsidRDefault="003E041A" w:rsidP="003E041A">
                  <w:pPr>
                    <w:spacing w:after="0" w:line="240" w:lineRule="atLeast"/>
                    <w:jc w:val="center"/>
                    <w:rPr>
                      <w:rFonts w:eastAsia="Times New Roman"/>
                      <w:b/>
                      <w:bCs/>
                      <w:sz w:val="19"/>
                      <w:szCs w:val="19"/>
                      <w:lang w:eastAsia="tr-TR"/>
                    </w:rPr>
                  </w:pPr>
                  <w:r w:rsidRPr="003E041A">
                    <w:rPr>
                      <w:rFonts w:eastAsia="Times New Roman"/>
                      <w:b/>
                      <w:bCs/>
                      <w:sz w:val="18"/>
                      <w:szCs w:val="18"/>
                      <w:lang w:eastAsia="tr-TR"/>
                    </w:rPr>
                    <w:t>YÖNETMELİĞİNDE DEĞİŞİKLİK YAPILMASINA DAİR YÖNETMELİK</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1 –</w:t>
                  </w:r>
                  <w:r w:rsidRPr="003E041A">
                    <w:rPr>
                      <w:rFonts w:eastAsia="Times New Roman"/>
                      <w:sz w:val="18"/>
                      <w:szCs w:val="18"/>
                      <w:lang w:eastAsia="tr-TR"/>
                    </w:rPr>
                    <w:t> </w:t>
                  </w:r>
                  <w:proofErr w:type="gramStart"/>
                  <w:r w:rsidRPr="003E041A">
                    <w:rPr>
                      <w:rFonts w:eastAsia="Times New Roman"/>
                      <w:sz w:val="18"/>
                      <w:szCs w:val="18"/>
                      <w:lang w:eastAsia="tr-TR"/>
                    </w:rPr>
                    <w:t>17/4/2015</w:t>
                  </w:r>
                  <w:proofErr w:type="gramEnd"/>
                  <w:r w:rsidRPr="003E041A">
                    <w:rPr>
                      <w:rFonts w:eastAsia="Times New Roman"/>
                      <w:sz w:val="18"/>
                      <w:szCs w:val="18"/>
                      <w:lang w:eastAsia="tr-TR"/>
                    </w:rPr>
                    <w:t xml:space="preserve"> tarihli ve 29329 sayılı Resmî </w:t>
                  </w:r>
                  <w:proofErr w:type="spellStart"/>
                  <w:r w:rsidRPr="003E041A">
                    <w:rPr>
                      <w:rFonts w:eastAsia="Times New Roman"/>
                      <w:sz w:val="18"/>
                      <w:szCs w:val="18"/>
                      <w:lang w:eastAsia="tr-TR"/>
                    </w:rPr>
                    <w:t>Gazete’de</w:t>
                  </w:r>
                  <w:proofErr w:type="spellEnd"/>
                  <w:r w:rsidRPr="003E041A">
                    <w:rPr>
                      <w:rFonts w:eastAsia="Times New Roman"/>
                      <w:sz w:val="18"/>
                      <w:szCs w:val="18"/>
                      <w:lang w:eastAsia="tr-TR"/>
                    </w:rPr>
                    <w:t xml:space="preserve"> yayımlanan Millî Eğitim Bakanlığı Öğretmen Atama ve Yer Değiştirme Yönetmeliğinin 18 inci maddesinin birinci fıkrası yürürlükten kaldırılmış, ikinci ve üçüncü fıkraları ise aşağıdaki şekilde değiştirilmiştir.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sz w:val="18"/>
                      <w:szCs w:val="18"/>
                      <w:lang w:eastAsia="tr-TR"/>
                    </w:rPr>
                    <w:t>“(2) İl ve ilçe millî eğitim müdürleri, görev alanlarındaki eğitim kurumlarında performans değerlendirme sürecinin sağlıklı olarak yürütülebilmesi için gerekli tedbirleri alır. İl millî eğitim müdürlüğü, nihai performans değerlendirmesinde başarılı ve başarısız olanların listelerini Öğretmen Yetiştirme ve Geliştirme Genel Müdürlüğüne bildirir.”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sz w:val="18"/>
                      <w:szCs w:val="18"/>
                      <w:lang w:eastAsia="tr-TR"/>
                    </w:rPr>
                    <w:t>“(3) Maarif müfettişi, aday öğretmenin eğitim kurumundaki çalışmalarını mesleki ölçütler bağlamında gözlemler ve kendisine rehberlik eder. Maarif müfettişi, rehberlik, gözlem ve incelemeleri doğrultusunda Ek-3’te yer alan Formu üç nüsha olarak doldurur. Formun bir örneğini muhafaza eder, bir örneğini aday öğretmene diğer bir örneğini ise aday öğretmenin görev yapmış olduğu eğitim kurumu müdürlüğüne beş iş günü içinde teslim eder.”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2 – </w:t>
                  </w:r>
                  <w:r w:rsidRPr="003E041A">
                    <w:rPr>
                      <w:rFonts w:eastAsia="Times New Roman"/>
                      <w:sz w:val="18"/>
                      <w:szCs w:val="18"/>
                      <w:lang w:eastAsia="tr-TR"/>
                    </w:rPr>
                    <w:t>Aynı Yönetmeliğin 19 uncu maddesine aşağıdaki fıkra eklenmiştir.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sz w:val="18"/>
                      <w:szCs w:val="18"/>
                      <w:lang w:eastAsia="tr-TR"/>
                    </w:rPr>
                    <w:t>“(4) Sınav, ihtiyaç duyulması halinde coğrafi şartlar göz önünde bulundurularak birden fazla il için bir veya birden fazla merkezde gerçekleştirilebilir.”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3 – </w:t>
                  </w:r>
                  <w:r w:rsidRPr="003E041A">
                    <w:rPr>
                      <w:rFonts w:eastAsia="Times New Roman"/>
                      <w:sz w:val="18"/>
                      <w:szCs w:val="18"/>
                      <w:lang w:eastAsia="tr-TR"/>
                    </w:rPr>
                    <w:t>Aynı Yönetmeliğin 23 üncü maddesinin üçüncü fıkrasının (a) ve (b) bentleri aşağıdaki şekilde değiştirilmiştir.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sz w:val="18"/>
                      <w:szCs w:val="18"/>
                      <w:lang w:eastAsia="tr-TR"/>
                    </w:rPr>
                    <w:t>“a) Sözlü sınavın Bakanlık merkezinde yapılması halinde; Sınav Koordinasyon Komisyonu başkanının görevlendireceği bir daire başkanının başkanlığında, İnsan Kaynakları Genel Müdürlüğü, Ölçme, Değerlendirme ve Sınav Hizmetleri Genel Müdürlüğü, Rehberlik ve Denetim Başkanlığı ve Hukuk Müşavirliğinden katılacak birer daire başkanından oluşur. İhtiyaç duyulması halinde yukarıda sayılan üyelerden birinin yerine bir öğretim üyesi görevlendirilebilir. Birden fazla komisyon kurulması durumunda, Millî Eğitim Bakanlığı merkez teşkilatında farklı birimlerden daire başkanı, şube müdürü, millî eğitim uzmanı veya şahsa bağlı eğitim uzmanı da komisyonlarda üye olarak görevlendirilebilir. Aynı usulle birer yedek üye belirlenir. Asıl üyenin bulunmadığı toplantıya komisyon başkanının çağrısı üzerine yedek üye katılır. Komisyon, başkanının belirlediği tarih ve gündemle toplanır. Kararlar oy çokluğuyla alınır. Komisyonun sekretarya hizmetleri Öğretmen Yetiştirme ve Geliştirme Genel Müdürlüğünce yürütülür.”</w:t>
                  </w:r>
                </w:p>
                <w:p w:rsidR="003E041A" w:rsidRPr="003E041A" w:rsidRDefault="003E041A" w:rsidP="003E041A">
                  <w:pPr>
                    <w:spacing w:after="0" w:line="240" w:lineRule="atLeast"/>
                    <w:ind w:firstLine="566"/>
                    <w:jc w:val="both"/>
                    <w:rPr>
                      <w:rFonts w:eastAsia="Times New Roman"/>
                      <w:sz w:val="19"/>
                      <w:szCs w:val="19"/>
                      <w:lang w:eastAsia="tr-TR"/>
                    </w:rPr>
                  </w:pPr>
                  <w:proofErr w:type="gramStart"/>
                  <w:r w:rsidRPr="003E041A">
                    <w:rPr>
                      <w:rFonts w:eastAsia="Times New Roman"/>
                      <w:sz w:val="18"/>
                      <w:szCs w:val="18"/>
                      <w:lang w:eastAsia="tr-TR"/>
                    </w:rPr>
                    <w:t xml:space="preserve">“b) Sözlü sınavın illerde yapılması halinde; il millî eğitim müdürü veya görevlendireceği bir il millî eğitim müdür yardımcısı ya da ilçe millî eğitim müdürünün başkanlığında, il millî eğitim müdürlüğünden bir şube müdürü veya şahsa bağlı eğitim uzmanı, ilçe millî eğitim müdürlüğünden bir şube müdürü, bir eğitim kurumu müdürü, bir öğretmen veya ihtiyaç duyulması halinde bir öğretim üyesinden oluşur. </w:t>
                  </w:r>
                  <w:proofErr w:type="gramEnd"/>
                  <w:r w:rsidRPr="003E041A">
                    <w:rPr>
                      <w:rFonts w:eastAsia="Times New Roman"/>
                      <w:sz w:val="18"/>
                      <w:szCs w:val="18"/>
                      <w:lang w:eastAsia="tr-TR"/>
                    </w:rPr>
                    <w:t>Sözlü sınav komisyonu üyeleri il millî eğitim müdürünün teklifi Öğretmen Yetiştirme ve Geliştirme Genel Müdürlüğünün onayı ile görevlendirilir. İhtiyaç duyulması halinde farklı illerden aynı düzeyde komisyon üyesi Bakanlıkça görevlendirilebilir. Sözlü sınavın birden fazla il için bir veya birden fazla merkezde gerçekleştirilmesi durumunda ise komisyon üyeleri sınavın yapıldığı il ya da illerde il millî eğitim müdürlüğü tarafından aynı usulle belirlenir.”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4 – </w:t>
                  </w:r>
                  <w:r w:rsidRPr="003E041A">
                    <w:rPr>
                      <w:rFonts w:eastAsia="Times New Roman"/>
                      <w:sz w:val="18"/>
                      <w:szCs w:val="18"/>
                      <w:lang w:eastAsia="tr-TR"/>
                    </w:rPr>
                    <w:t>Aynı Yönetmeliğin 48 inci maddesinde geçen “8” ibareleri “12” olarak değiştirilmiştir.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5 – </w:t>
                  </w:r>
                  <w:r w:rsidRPr="003E041A">
                    <w:rPr>
                      <w:rFonts w:eastAsia="Times New Roman"/>
                      <w:sz w:val="18"/>
                      <w:szCs w:val="18"/>
                      <w:lang w:eastAsia="tr-TR"/>
                    </w:rPr>
                    <w:t>Aynı Yönetmeliğin geçici 3 üncü maddesi aşağıdaki şekilde değiştirilmiştir.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sz w:val="18"/>
                      <w:szCs w:val="18"/>
                      <w:lang w:eastAsia="tr-TR"/>
                    </w:rPr>
                    <w:t>“</w:t>
                  </w:r>
                  <w:r w:rsidRPr="003E041A">
                    <w:rPr>
                      <w:rFonts w:eastAsia="Times New Roman"/>
                      <w:b/>
                      <w:bCs/>
                      <w:sz w:val="18"/>
                      <w:szCs w:val="18"/>
                      <w:lang w:eastAsia="tr-TR"/>
                    </w:rPr>
                    <w:t>GEÇİCİ MADDE 3 –</w:t>
                  </w:r>
                  <w:r w:rsidRPr="003E041A">
                    <w:rPr>
                      <w:rFonts w:eastAsia="Times New Roman"/>
                      <w:sz w:val="18"/>
                      <w:szCs w:val="18"/>
                      <w:lang w:eastAsia="tr-TR"/>
                    </w:rPr>
                    <w:t> (1) 48 inci madde hükümleri aynı eğitim kurumunda; 2014-2015 öğretim yılında 15 yıl, 2015-2016 öğretim yılında 14 yıl, 2016-2017 öğretim yılında 13 yıl görev yapan öğretmenler hakkında uygulanır.”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6 – </w:t>
                  </w:r>
                  <w:r w:rsidRPr="003E041A">
                    <w:rPr>
                      <w:rFonts w:eastAsia="Times New Roman"/>
                      <w:sz w:val="18"/>
                      <w:szCs w:val="18"/>
                      <w:lang w:eastAsia="tr-TR"/>
                    </w:rPr>
                    <w:t>Bu Yönetmelik yayımı tarihinde yürürlüğe girer.</w:t>
                  </w:r>
                </w:p>
                <w:p w:rsidR="003E041A" w:rsidRPr="003E041A" w:rsidRDefault="003E041A" w:rsidP="003E041A">
                  <w:pPr>
                    <w:spacing w:after="0" w:line="240" w:lineRule="atLeast"/>
                    <w:ind w:firstLine="566"/>
                    <w:jc w:val="both"/>
                    <w:rPr>
                      <w:rFonts w:eastAsia="Times New Roman"/>
                      <w:sz w:val="19"/>
                      <w:szCs w:val="19"/>
                      <w:lang w:eastAsia="tr-TR"/>
                    </w:rPr>
                  </w:pPr>
                  <w:r w:rsidRPr="003E041A">
                    <w:rPr>
                      <w:rFonts w:eastAsia="Times New Roman"/>
                      <w:b/>
                      <w:bCs/>
                      <w:sz w:val="18"/>
                      <w:szCs w:val="18"/>
                      <w:lang w:eastAsia="tr-TR"/>
                    </w:rPr>
                    <w:t>MADDE 7 – </w:t>
                  </w:r>
                  <w:r w:rsidRPr="003E041A">
                    <w:rPr>
                      <w:rFonts w:eastAsia="Times New Roman"/>
                      <w:sz w:val="18"/>
                      <w:szCs w:val="18"/>
                      <w:lang w:eastAsia="tr-TR"/>
                    </w:rPr>
                    <w:t>Bu Yönetmelik hükümlerini Millî Eğitim Bakanı yürütür.</w:t>
                  </w:r>
                </w:p>
                <w:p w:rsidR="003E041A" w:rsidRPr="003E041A" w:rsidRDefault="003E041A" w:rsidP="003E041A">
                  <w:pPr>
                    <w:spacing w:after="0" w:line="240" w:lineRule="atLeast"/>
                    <w:jc w:val="center"/>
                    <w:rPr>
                      <w:rFonts w:eastAsia="Times New Roman"/>
                      <w:sz w:val="19"/>
                      <w:szCs w:val="19"/>
                      <w:lang w:eastAsia="tr-TR"/>
                    </w:rPr>
                  </w:pPr>
                  <w:r w:rsidRPr="003E041A">
                    <w:rPr>
                      <w:rFonts w:eastAsia="Times New Roman"/>
                      <w:sz w:val="18"/>
                      <w:szCs w:val="18"/>
                      <w:lang w:eastAsia="tr-TR"/>
                    </w:rPr>
                    <w:t> </w:t>
                  </w:r>
                </w:p>
                <w:tbl>
                  <w:tblPr>
                    <w:tblW w:w="8505" w:type="dxa"/>
                    <w:jc w:val="center"/>
                    <w:tblCellMar>
                      <w:left w:w="0" w:type="dxa"/>
                      <w:right w:w="0" w:type="dxa"/>
                    </w:tblCellMar>
                    <w:tblLook w:val="04A0" w:firstRow="1" w:lastRow="0" w:firstColumn="1" w:lastColumn="0" w:noHBand="0" w:noVBand="1"/>
                  </w:tblPr>
                  <w:tblGrid>
                    <w:gridCol w:w="4254"/>
                    <w:gridCol w:w="4251"/>
                  </w:tblGrid>
                  <w:tr w:rsidR="003E041A" w:rsidRPr="003E041A">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E041A" w:rsidRPr="003E041A" w:rsidRDefault="003E041A" w:rsidP="003E041A">
                        <w:pPr>
                          <w:spacing w:before="100" w:beforeAutospacing="1" w:after="100" w:afterAutospacing="1" w:line="240" w:lineRule="atLeast"/>
                          <w:jc w:val="center"/>
                          <w:rPr>
                            <w:rFonts w:eastAsia="Times New Roman"/>
                            <w:lang w:eastAsia="tr-TR"/>
                          </w:rPr>
                        </w:pPr>
                        <w:r w:rsidRPr="003E041A">
                          <w:rPr>
                            <w:rFonts w:eastAsia="Times New Roman"/>
                            <w:b/>
                            <w:bCs/>
                            <w:sz w:val="18"/>
                            <w:szCs w:val="18"/>
                            <w:lang w:eastAsia="tr-TR"/>
                          </w:rPr>
                          <w:t>Yönetmeliğin Yayımlandığı Resmî Gazete'nin</w:t>
                        </w:r>
                      </w:p>
                    </w:tc>
                  </w:tr>
                  <w:tr w:rsidR="003E041A" w:rsidRPr="003E041A">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E041A" w:rsidRPr="003E041A" w:rsidRDefault="003E041A" w:rsidP="003E041A">
                        <w:pPr>
                          <w:spacing w:before="100" w:beforeAutospacing="1" w:after="100" w:afterAutospacing="1" w:line="240" w:lineRule="atLeast"/>
                          <w:jc w:val="center"/>
                          <w:rPr>
                            <w:rFonts w:eastAsia="Times New Roman"/>
                            <w:lang w:eastAsia="tr-TR"/>
                          </w:rPr>
                        </w:pPr>
                        <w:r w:rsidRPr="003E041A">
                          <w:rPr>
                            <w:rFonts w:eastAsia="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041A" w:rsidRPr="003E041A" w:rsidRDefault="003E041A" w:rsidP="003E041A">
                        <w:pPr>
                          <w:spacing w:before="100" w:beforeAutospacing="1" w:after="100" w:afterAutospacing="1" w:line="240" w:lineRule="atLeast"/>
                          <w:jc w:val="center"/>
                          <w:rPr>
                            <w:rFonts w:eastAsia="Times New Roman"/>
                            <w:lang w:eastAsia="tr-TR"/>
                          </w:rPr>
                        </w:pPr>
                        <w:r w:rsidRPr="003E041A">
                          <w:rPr>
                            <w:rFonts w:eastAsia="Times New Roman"/>
                            <w:b/>
                            <w:bCs/>
                            <w:sz w:val="18"/>
                            <w:szCs w:val="18"/>
                            <w:lang w:eastAsia="tr-TR"/>
                          </w:rPr>
                          <w:t>Sayısı</w:t>
                        </w:r>
                      </w:p>
                    </w:tc>
                  </w:tr>
                  <w:tr w:rsidR="003E041A" w:rsidRPr="003E041A">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E041A" w:rsidRPr="003E041A" w:rsidRDefault="003E041A" w:rsidP="003E041A">
                        <w:pPr>
                          <w:spacing w:before="100" w:beforeAutospacing="1" w:after="100" w:afterAutospacing="1" w:line="240" w:lineRule="atLeast"/>
                          <w:jc w:val="center"/>
                          <w:rPr>
                            <w:rFonts w:eastAsia="Times New Roman"/>
                            <w:lang w:eastAsia="tr-TR"/>
                          </w:rPr>
                        </w:pPr>
                        <w:proofErr w:type="gramStart"/>
                        <w:r w:rsidRPr="003E041A">
                          <w:rPr>
                            <w:rFonts w:eastAsia="Times New Roman"/>
                            <w:sz w:val="18"/>
                            <w:szCs w:val="18"/>
                            <w:lang w:eastAsia="tr-TR"/>
                          </w:rPr>
                          <w:t>17/4/2015</w:t>
                        </w:r>
                        <w:proofErr w:type="gramEnd"/>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E041A" w:rsidRPr="003E041A" w:rsidRDefault="003E041A" w:rsidP="003E041A">
                        <w:pPr>
                          <w:spacing w:before="100" w:beforeAutospacing="1" w:after="100" w:afterAutospacing="1" w:line="240" w:lineRule="atLeast"/>
                          <w:jc w:val="center"/>
                          <w:rPr>
                            <w:rFonts w:eastAsia="Times New Roman"/>
                            <w:lang w:eastAsia="tr-TR"/>
                          </w:rPr>
                        </w:pPr>
                        <w:r w:rsidRPr="003E041A">
                          <w:rPr>
                            <w:rFonts w:eastAsia="Times New Roman"/>
                            <w:sz w:val="18"/>
                            <w:szCs w:val="18"/>
                            <w:lang w:eastAsia="tr-TR"/>
                          </w:rPr>
                          <w:t>29329</w:t>
                        </w:r>
                      </w:p>
                    </w:tc>
                  </w:tr>
                </w:tbl>
                <w:p w:rsidR="003E041A" w:rsidRPr="003E041A" w:rsidRDefault="003E041A" w:rsidP="003E041A">
                  <w:pPr>
                    <w:spacing w:after="0" w:line="240" w:lineRule="atLeast"/>
                    <w:jc w:val="center"/>
                    <w:rPr>
                      <w:rFonts w:eastAsia="Times New Roman"/>
                      <w:sz w:val="19"/>
                      <w:szCs w:val="19"/>
                      <w:lang w:eastAsia="tr-TR"/>
                    </w:rPr>
                  </w:pPr>
                  <w:r w:rsidRPr="003E041A">
                    <w:rPr>
                      <w:rFonts w:eastAsia="Times New Roman"/>
                      <w:sz w:val="18"/>
                      <w:szCs w:val="18"/>
                      <w:lang w:eastAsia="tr-TR"/>
                    </w:rPr>
                    <w:t> </w:t>
                  </w:r>
                </w:p>
                <w:p w:rsidR="003E041A" w:rsidRPr="003E041A" w:rsidRDefault="003E041A" w:rsidP="003E041A">
                  <w:pPr>
                    <w:spacing w:before="100" w:beforeAutospacing="1" w:after="100" w:afterAutospacing="1" w:line="240" w:lineRule="auto"/>
                    <w:jc w:val="center"/>
                    <w:rPr>
                      <w:rFonts w:eastAsia="Times New Roman"/>
                      <w:lang w:eastAsia="tr-TR"/>
                    </w:rPr>
                  </w:pPr>
                  <w:r w:rsidRPr="003E041A">
                    <w:rPr>
                      <w:rFonts w:ascii="Arial" w:eastAsia="Times New Roman" w:hAnsi="Arial" w:cs="Arial"/>
                      <w:b/>
                      <w:bCs/>
                      <w:color w:val="000080"/>
                      <w:sz w:val="18"/>
                      <w:szCs w:val="18"/>
                      <w:lang w:eastAsia="tr-TR"/>
                    </w:rPr>
                    <w:t> </w:t>
                  </w:r>
                </w:p>
              </w:tc>
            </w:tr>
          </w:tbl>
          <w:p w:rsidR="003E041A" w:rsidRPr="003E041A" w:rsidRDefault="003E041A" w:rsidP="003E041A">
            <w:pPr>
              <w:spacing w:after="0" w:line="240" w:lineRule="auto"/>
              <w:rPr>
                <w:rFonts w:eastAsia="Times New Roman"/>
                <w:lang w:eastAsia="tr-TR"/>
              </w:rPr>
            </w:pPr>
          </w:p>
        </w:tc>
      </w:tr>
    </w:tbl>
    <w:p w:rsidR="003E041A" w:rsidRPr="003E041A" w:rsidRDefault="003E041A" w:rsidP="003E041A">
      <w:pPr>
        <w:spacing w:after="0" w:line="240" w:lineRule="auto"/>
        <w:jc w:val="center"/>
        <w:rPr>
          <w:rFonts w:eastAsia="Times New Roman"/>
          <w:color w:val="000000"/>
          <w:sz w:val="27"/>
          <w:szCs w:val="27"/>
          <w:lang w:eastAsia="tr-TR"/>
        </w:rPr>
      </w:pPr>
      <w:r w:rsidRPr="003E041A">
        <w:rPr>
          <w:rFonts w:eastAsia="Times New Roman"/>
          <w:color w:val="000000"/>
          <w:sz w:val="27"/>
          <w:szCs w:val="27"/>
          <w:lang w:eastAsia="tr-TR"/>
        </w:rPr>
        <w:t> </w:t>
      </w:r>
    </w:p>
    <w:p w:rsidR="005C5903" w:rsidRDefault="005C5903">
      <w:bookmarkStart w:id="0" w:name="_GoBack"/>
      <w:bookmarkEnd w:id="0"/>
    </w:p>
    <w:sectPr w:rsidR="005C5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41A"/>
    <w:rsid w:val="00084C8B"/>
    <w:rsid w:val="003E041A"/>
    <w:rsid w:val="005C5903"/>
    <w:rsid w:val="00B4339F"/>
    <w:rsid w:val="00CB27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041A"/>
    <w:pPr>
      <w:spacing w:before="100" w:beforeAutospacing="1" w:after="100" w:afterAutospacing="1" w:line="240" w:lineRule="auto"/>
    </w:pPr>
    <w:rPr>
      <w:rFonts w:eastAsia="Times New Roman"/>
      <w:lang w:eastAsia="tr-TR"/>
    </w:rPr>
  </w:style>
  <w:style w:type="paragraph" w:customStyle="1" w:styleId="balk11pt">
    <w:name w:val="balk11pt"/>
    <w:basedOn w:val="Normal"/>
    <w:rsid w:val="003E041A"/>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3E041A"/>
    <w:pPr>
      <w:spacing w:before="100" w:beforeAutospacing="1" w:after="100" w:afterAutospacing="1" w:line="240" w:lineRule="auto"/>
    </w:pPr>
    <w:rPr>
      <w:rFonts w:eastAsia="Times New Roman"/>
      <w:lang w:eastAsia="tr-TR"/>
    </w:rPr>
  </w:style>
  <w:style w:type="paragraph" w:customStyle="1" w:styleId="metin">
    <w:name w:val="metin"/>
    <w:basedOn w:val="Normal"/>
    <w:rsid w:val="003E041A"/>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3E041A"/>
  </w:style>
  <w:style w:type="character" w:customStyle="1" w:styleId="grame">
    <w:name w:val="grame"/>
    <w:basedOn w:val="VarsaylanParagrafYazTipi"/>
    <w:rsid w:val="003E041A"/>
  </w:style>
  <w:style w:type="paragraph" w:customStyle="1" w:styleId="3-normalyaz">
    <w:name w:val="3-normalyaz"/>
    <w:basedOn w:val="Normal"/>
    <w:rsid w:val="003E041A"/>
    <w:pPr>
      <w:spacing w:before="100" w:beforeAutospacing="1" w:after="100" w:afterAutospacing="1" w:line="240" w:lineRule="auto"/>
    </w:pPr>
    <w:rPr>
      <w:rFonts w:eastAsia="Times New Roman"/>
      <w:lang w:eastAsia="tr-TR"/>
    </w:rPr>
  </w:style>
  <w:style w:type="paragraph" w:styleId="BalonMetni">
    <w:name w:val="Balloon Text"/>
    <w:basedOn w:val="Normal"/>
    <w:link w:val="BalonMetniChar"/>
    <w:uiPriority w:val="99"/>
    <w:semiHidden/>
    <w:unhideWhenUsed/>
    <w:rsid w:val="003E0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4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E041A"/>
    <w:pPr>
      <w:spacing w:before="100" w:beforeAutospacing="1" w:after="100" w:afterAutospacing="1" w:line="240" w:lineRule="auto"/>
    </w:pPr>
    <w:rPr>
      <w:rFonts w:eastAsia="Times New Roman"/>
      <w:lang w:eastAsia="tr-TR"/>
    </w:rPr>
  </w:style>
  <w:style w:type="paragraph" w:customStyle="1" w:styleId="balk11pt">
    <w:name w:val="balk11pt"/>
    <w:basedOn w:val="Normal"/>
    <w:rsid w:val="003E041A"/>
    <w:pPr>
      <w:spacing w:before="100" w:beforeAutospacing="1" w:after="100" w:afterAutospacing="1" w:line="240" w:lineRule="auto"/>
    </w:pPr>
    <w:rPr>
      <w:rFonts w:eastAsia="Times New Roman"/>
      <w:lang w:eastAsia="tr-TR"/>
    </w:rPr>
  </w:style>
  <w:style w:type="paragraph" w:customStyle="1" w:styleId="ortabalkbold">
    <w:name w:val="ortabalkbold"/>
    <w:basedOn w:val="Normal"/>
    <w:rsid w:val="003E041A"/>
    <w:pPr>
      <w:spacing w:before="100" w:beforeAutospacing="1" w:after="100" w:afterAutospacing="1" w:line="240" w:lineRule="auto"/>
    </w:pPr>
    <w:rPr>
      <w:rFonts w:eastAsia="Times New Roman"/>
      <w:lang w:eastAsia="tr-TR"/>
    </w:rPr>
  </w:style>
  <w:style w:type="paragraph" w:customStyle="1" w:styleId="metin">
    <w:name w:val="metin"/>
    <w:basedOn w:val="Normal"/>
    <w:rsid w:val="003E041A"/>
    <w:pPr>
      <w:spacing w:before="100" w:beforeAutospacing="1" w:after="100" w:afterAutospacing="1" w:line="240" w:lineRule="auto"/>
    </w:pPr>
    <w:rPr>
      <w:rFonts w:eastAsia="Times New Roman"/>
      <w:lang w:eastAsia="tr-TR"/>
    </w:rPr>
  </w:style>
  <w:style w:type="character" w:customStyle="1" w:styleId="apple-converted-space">
    <w:name w:val="apple-converted-space"/>
    <w:basedOn w:val="VarsaylanParagrafYazTipi"/>
    <w:rsid w:val="003E041A"/>
  </w:style>
  <w:style w:type="character" w:customStyle="1" w:styleId="grame">
    <w:name w:val="grame"/>
    <w:basedOn w:val="VarsaylanParagrafYazTipi"/>
    <w:rsid w:val="003E041A"/>
  </w:style>
  <w:style w:type="paragraph" w:customStyle="1" w:styleId="3-normalyaz">
    <w:name w:val="3-normalyaz"/>
    <w:basedOn w:val="Normal"/>
    <w:rsid w:val="003E041A"/>
    <w:pPr>
      <w:spacing w:before="100" w:beforeAutospacing="1" w:after="100" w:afterAutospacing="1" w:line="240" w:lineRule="auto"/>
    </w:pPr>
    <w:rPr>
      <w:rFonts w:eastAsia="Times New Roman"/>
      <w:lang w:eastAsia="tr-TR"/>
    </w:rPr>
  </w:style>
  <w:style w:type="paragraph" w:styleId="BalonMetni">
    <w:name w:val="Balloon Text"/>
    <w:basedOn w:val="Normal"/>
    <w:link w:val="BalonMetniChar"/>
    <w:uiPriority w:val="99"/>
    <w:semiHidden/>
    <w:unhideWhenUsed/>
    <w:rsid w:val="003E04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4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8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608</Words>
  <Characters>3467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sevgi</dc:creator>
  <cp:lastModifiedBy>sevgi</cp:lastModifiedBy>
  <cp:revision>1</cp:revision>
  <cp:lastPrinted>2015-07-04T07:13:00Z</cp:lastPrinted>
  <dcterms:created xsi:type="dcterms:W3CDTF">2015-07-04T07:13:00Z</dcterms:created>
  <dcterms:modified xsi:type="dcterms:W3CDTF">2015-07-04T08:34:00Z</dcterms:modified>
</cp:coreProperties>
</file>