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27" w:rsidRPr="004A12E3"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r w:rsidR="00865FE6">
        <w:rPr>
          <w:rFonts w:ascii="Times New Roman" w:hAnsi="Times New Roman" w:cs="Times New Roman"/>
          <w:b/>
          <w:sz w:val="24"/>
          <w:szCs w:val="24"/>
        </w:rPr>
        <w:t>;</w:t>
      </w: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FC48C1" w:rsidRDefault="00FC48C1" w:rsidP="00846514">
      <w:pPr>
        <w:spacing w:after="0" w:line="240" w:lineRule="auto"/>
        <w:jc w:val="right"/>
        <w:rPr>
          <w:rFonts w:ascii="Times New Roman" w:hAnsi="Times New Roman" w:cs="Times New Roman"/>
          <w:b/>
          <w:sz w:val="24"/>
          <w:szCs w:val="24"/>
        </w:rPr>
      </w:pPr>
    </w:p>
    <w:p w:rsidR="004B544C"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947B8E" w:rsidRPr="004A12E3" w:rsidRDefault="00947B8E" w:rsidP="00947B8E">
      <w:pPr>
        <w:spacing w:after="0" w:line="240" w:lineRule="auto"/>
        <w:ind w:left="2832"/>
        <w:jc w:val="both"/>
        <w:rPr>
          <w:rFonts w:ascii="Times New Roman" w:hAnsi="Times New Roman" w:cs="Times New Roman"/>
          <w:sz w:val="24"/>
          <w:szCs w:val="24"/>
        </w:rPr>
      </w:pPr>
      <w:r w:rsidRPr="00947B8E">
        <w:rPr>
          <w:rFonts w:ascii="Times New Roman" w:hAnsi="Times New Roman" w:cs="Times New Roman"/>
          <w:sz w:val="24"/>
          <w:szCs w:val="24"/>
        </w:rPr>
        <w:t>(Türkiye Eğitim, Öğretim ve Bilim Hizmetleri Kolu Kamu Çalışanları Sendikası)</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947B8E">
        <w:rPr>
          <w:rFonts w:ascii="Times New Roman" w:hAnsi="Times New Roman" w:cs="Times New Roman"/>
          <w:sz w:val="24"/>
          <w:szCs w:val="24"/>
        </w:rPr>
        <w:t>T.C. Başbakanlık</w:t>
      </w:r>
      <w:r w:rsidR="00DA6D88">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947B8E" w:rsidRDefault="004B544C" w:rsidP="006C2A2D">
      <w:pPr>
        <w:pStyle w:val="NormalWeb"/>
        <w:spacing w:after="0"/>
        <w:jc w:val="both"/>
      </w:pPr>
      <w:r w:rsidRPr="004A12E3">
        <w:rPr>
          <w:b/>
          <w:u w:val="single"/>
        </w:rPr>
        <w:t>T.KONUSU</w:t>
      </w:r>
      <w:r w:rsidRPr="004A12E3">
        <w:rPr>
          <w:b/>
          <w:u w:val="single"/>
        </w:rPr>
        <w:tab/>
      </w:r>
      <w:r w:rsidRPr="004A12E3">
        <w:rPr>
          <w:b/>
          <w:u w:val="single"/>
        </w:rPr>
        <w:tab/>
      </w:r>
      <w:r w:rsidRPr="004A12E3">
        <w:rPr>
          <w:b/>
          <w:u w:val="single"/>
        </w:rPr>
        <w:tab/>
        <w:t>:</w:t>
      </w:r>
      <w:r w:rsidR="000100F1">
        <w:t xml:space="preserve"> </w:t>
      </w:r>
      <w:r w:rsidR="00947B8E">
        <w:t>14.05.2018 tarih ve 2018/11834 sayılı Bakanlar Kurulu Kararı ile düzenlenerek, 27</w:t>
      </w:r>
      <w:r w:rsidR="00EE5C8F">
        <w:t>.0</w:t>
      </w:r>
      <w:r w:rsidR="00947B8E">
        <w:t>6</w:t>
      </w:r>
      <w:r w:rsidR="00EE5C8F">
        <w:t>.2018 tarih ve 304</w:t>
      </w:r>
      <w:r w:rsidR="00947B8E">
        <w:t>61</w:t>
      </w:r>
      <w:r w:rsidR="00EE5C8F">
        <w:t xml:space="preserve"> sayılı </w:t>
      </w:r>
      <w:r w:rsidR="005E45A0">
        <w:t xml:space="preserve">Resmi </w:t>
      </w:r>
      <w:proofErr w:type="spellStart"/>
      <w:r w:rsidR="005E45A0">
        <w:t>Gazete’de</w:t>
      </w:r>
      <w:proofErr w:type="spellEnd"/>
      <w:r w:rsidR="005E45A0">
        <w:t xml:space="preserve"> </w:t>
      </w:r>
      <w:r w:rsidR="00EE5C8F">
        <w:t xml:space="preserve">yayımlanan </w:t>
      </w:r>
      <w:r w:rsidR="00947B8E">
        <w:t xml:space="preserve">“Akademik Teşvik Ödeneği </w:t>
      </w:r>
      <w:proofErr w:type="spellStart"/>
      <w:r w:rsidR="00947B8E">
        <w:t>Yönetmeliği”nin</w:t>
      </w:r>
      <w:proofErr w:type="spellEnd"/>
      <w:r w:rsidR="00947B8E">
        <w:t xml:space="preserve">; </w:t>
      </w:r>
    </w:p>
    <w:p w:rsidR="007858BC" w:rsidRDefault="00D10606" w:rsidP="006C2A2D">
      <w:pPr>
        <w:pStyle w:val="NormalWeb"/>
        <w:spacing w:after="0"/>
        <w:jc w:val="both"/>
      </w:pPr>
      <w:r>
        <w:t>1)</w:t>
      </w:r>
      <w:r w:rsidR="005E45A0">
        <w:t>-</w:t>
      </w:r>
      <w:r w:rsidR="00D72F05" w:rsidRPr="00D72F05">
        <w:t xml:space="preserve"> “Tanımlar ve Kısaltmalar” başlıklı 3. Maddesinin 1. Fıkrasının (</w:t>
      </w:r>
      <w:r w:rsidR="00D72F05">
        <w:t>k</w:t>
      </w:r>
      <w:r w:rsidR="00D72F05" w:rsidRPr="00D72F05">
        <w:t>) bendin</w:t>
      </w:r>
      <w:r w:rsidR="00D72F05">
        <w:t xml:space="preserve">de yer alan </w:t>
      </w:r>
      <w:r w:rsidR="00D72F05" w:rsidRPr="00D72F05">
        <w:rPr>
          <w:i/>
        </w:rPr>
        <w:t>“</w:t>
      </w:r>
      <w:proofErr w:type="gramStart"/>
      <w:r w:rsidR="00D72F05" w:rsidRPr="00D72F05">
        <w:rPr>
          <w:i/>
        </w:rPr>
        <w:t>..</w:t>
      </w:r>
      <w:proofErr w:type="gramEnd"/>
      <w:r w:rsidR="00D72F05" w:rsidRPr="00D72F05">
        <w:rPr>
          <w:i/>
        </w:rPr>
        <w:t>yükseköğretim kurumu senatosunun kararıyla alanında etkinliği ve saygınlığı kabul edilen..”</w:t>
      </w:r>
      <w:r w:rsidR="00D72F05">
        <w:t xml:space="preserve"> ibaresinin;</w:t>
      </w:r>
    </w:p>
    <w:p w:rsidR="00D72F05" w:rsidRDefault="000E1C75" w:rsidP="006C2A2D">
      <w:pPr>
        <w:pStyle w:val="NormalWeb"/>
        <w:spacing w:after="0"/>
        <w:jc w:val="both"/>
      </w:pPr>
      <w:r>
        <w:t>2</w:t>
      </w:r>
      <w:r w:rsidR="00D72F05" w:rsidRPr="00D72F05">
        <w:t>)- “Tanımlar ve Kısaltmalar” başlıklı 3. Maddesinin 1. Fıkrasının (</w:t>
      </w:r>
      <w:r w:rsidR="00D72F05">
        <w:t>l</w:t>
      </w:r>
      <w:r w:rsidR="00D72F05" w:rsidRPr="00D72F05">
        <w:t xml:space="preserve">) bendinde yer alan </w:t>
      </w:r>
      <w:r w:rsidR="00D72F05" w:rsidRPr="00D72F05">
        <w:rPr>
          <w:i/>
        </w:rPr>
        <w:t>“</w:t>
      </w:r>
      <w:proofErr w:type="gramStart"/>
      <w:r w:rsidR="00D72F05" w:rsidRPr="00D72F05">
        <w:rPr>
          <w:i/>
        </w:rPr>
        <w:t>..</w:t>
      </w:r>
      <w:proofErr w:type="gramEnd"/>
      <w:r w:rsidR="00D72F05" w:rsidRPr="00D72F05">
        <w:rPr>
          <w:i/>
        </w:rPr>
        <w:t>yükseköğretim kurumu senatosunun kararıyla alanında etkinliği ve saygınlığı kabul edilen..”</w:t>
      </w:r>
      <w:r w:rsidR="00D72F05" w:rsidRPr="00D72F05">
        <w:t xml:space="preserve"> ibaresinin;</w:t>
      </w:r>
    </w:p>
    <w:p w:rsidR="00795B21" w:rsidRDefault="000E1C75" w:rsidP="009A530A">
      <w:pPr>
        <w:pStyle w:val="NormalWeb"/>
        <w:spacing w:after="0"/>
        <w:jc w:val="both"/>
      </w:pPr>
      <w:r>
        <w:t>3</w:t>
      </w:r>
      <w:r w:rsidR="00F6177E">
        <w:t xml:space="preserve">)- </w:t>
      </w:r>
      <w:r w:rsidR="009A530A">
        <w:t>“Akademik teşvik faaliyet alanlarının değerlendirilmesi” başlıklı 7. Maddesinin 1. Fıkrasında yer alan “</w:t>
      </w:r>
      <w:r w:rsidR="009A530A" w:rsidRPr="009A530A">
        <w:rPr>
          <w:i/>
        </w:rPr>
        <w:t>Başvuru sahiplerinin sadece kendi alanı ile ilgili yapmış olduğu faaliyetler akademik teşvik kapsamında değerlendirilir</w:t>
      </w:r>
      <w:r w:rsidR="009A530A">
        <w:t xml:space="preserve">.” </w:t>
      </w:r>
      <w:r w:rsidR="005E4BEF">
        <w:t>i</w:t>
      </w:r>
      <w:r w:rsidR="009A530A">
        <w:t>baresinin;</w:t>
      </w:r>
      <w:r w:rsidR="00795B21" w:rsidRPr="00795B21">
        <w:t xml:space="preserve"> </w:t>
      </w:r>
    </w:p>
    <w:p w:rsidR="00795B21" w:rsidRDefault="000E1C75" w:rsidP="00795B21">
      <w:pPr>
        <w:pStyle w:val="NormalWeb"/>
        <w:spacing w:after="0"/>
        <w:jc w:val="both"/>
      </w:pPr>
      <w:r>
        <w:t>4</w:t>
      </w:r>
      <w:r w:rsidR="009A530A">
        <w:t xml:space="preserve">)- </w:t>
      </w:r>
      <w:r w:rsidR="00795B21" w:rsidRPr="00795B21">
        <w:t xml:space="preserve">“Akademik teşvik faaliyet alanlarının değerlendirilmesi” başlıklı 7. Maddesinin </w:t>
      </w:r>
      <w:r w:rsidR="00795B21">
        <w:t>2</w:t>
      </w:r>
      <w:r w:rsidR="00795B21" w:rsidRPr="00795B21">
        <w:t>. Fıkrasın</w:t>
      </w:r>
      <w:r w:rsidR="00795B21">
        <w:t>ın ilk cümlesinde</w:t>
      </w:r>
      <w:r w:rsidR="00795B21" w:rsidRPr="00795B21">
        <w:t xml:space="preserve"> yer alan </w:t>
      </w:r>
      <w:r w:rsidR="00795B21" w:rsidRPr="00DE0D4F">
        <w:rPr>
          <w:i/>
        </w:rPr>
        <w:t>“</w:t>
      </w:r>
      <w:proofErr w:type="gramStart"/>
      <w:r w:rsidR="00795B21" w:rsidRPr="00DE0D4F">
        <w:rPr>
          <w:i/>
        </w:rPr>
        <w:t>..</w:t>
      </w:r>
      <w:proofErr w:type="gramEnd"/>
      <w:r w:rsidR="00795B21" w:rsidRPr="00DE0D4F">
        <w:rPr>
          <w:i/>
        </w:rPr>
        <w:t>sadece bilim, teknoloji ve sanata katkı sağlayıcı nitelikte..”</w:t>
      </w:r>
      <w:r w:rsidR="00795B21">
        <w:t xml:space="preserve"> ibaresinin;</w:t>
      </w:r>
    </w:p>
    <w:p w:rsidR="007858BC" w:rsidRDefault="000E1C75" w:rsidP="006C2A2D">
      <w:pPr>
        <w:pStyle w:val="NormalWeb"/>
        <w:spacing w:after="0"/>
        <w:jc w:val="both"/>
      </w:pPr>
      <w:r>
        <w:t>5</w:t>
      </w:r>
      <w:r w:rsidR="00795B21">
        <w:t xml:space="preserve">)- </w:t>
      </w:r>
      <w:r w:rsidR="00F6177E">
        <w:t>“</w:t>
      </w:r>
      <w:r w:rsidR="00F6177E" w:rsidRPr="00F6177E">
        <w:t>Akademik teşvik ödeneğinin hesaplanması</w:t>
      </w:r>
      <w:r w:rsidR="00F6177E">
        <w:t xml:space="preserve">” başlıklı 8. Maddesinde, </w:t>
      </w:r>
      <w:r w:rsidR="009A530A">
        <w:t>faaliyet puanı hesaplanırken, alt faaliyet oranlarının, akademik kadro unvanlarına göre farklı katsayılarla çarpılmasına yer verilmemesine ilişkin eksik düzenlemenin;</w:t>
      </w:r>
    </w:p>
    <w:p w:rsidR="008548C6" w:rsidRDefault="008548C6" w:rsidP="006C2A2D">
      <w:pPr>
        <w:pStyle w:val="NormalWeb"/>
        <w:spacing w:after="0"/>
        <w:jc w:val="both"/>
      </w:pPr>
      <w:proofErr w:type="gramStart"/>
      <w:r>
        <w:t>6)-</w:t>
      </w:r>
      <w:r w:rsidR="00D65DCD">
        <w:t xml:space="preserve"> </w:t>
      </w:r>
      <w:r>
        <w:t>Yönetmeliğin ekinde yer alan “</w:t>
      </w:r>
      <w:r w:rsidRPr="008548C6">
        <w:t>Faaliyet Hesaplama Tablosu (Tablo 4)</w:t>
      </w:r>
      <w:r>
        <w:t>”</w:t>
      </w:r>
      <w:proofErr w:type="spellStart"/>
      <w:r>
        <w:t>nun</w:t>
      </w:r>
      <w:proofErr w:type="spellEnd"/>
      <w:r>
        <w:t xml:space="preserve"> “SERGİ” bölümünde, </w:t>
      </w:r>
      <w:r w:rsidRPr="008548C6">
        <w:t xml:space="preserve">Al </w:t>
      </w:r>
      <w:r>
        <w:t>(</w:t>
      </w:r>
      <w:r w:rsidRPr="008548C6">
        <w:t>Eğitim Bilimleri, Fen Bilimleri ve Matematik, Mühendislik, Sağlık Bilimleri, Ziraat, Orman ve Su Ürünleri</w:t>
      </w:r>
      <w:r>
        <w:t xml:space="preserve">), </w:t>
      </w:r>
      <w:r w:rsidRPr="008548C6">
        <w:t xml:space="preserve"> A2 </w:t>
      </w:r>
      <w:r>
        <w:t>(</w:t>
      </w:r>
      <w:r w:rsidRPr="008548C6">
        <w:t>Filoloji, Hukuk, İlahiyat, Sosyal, Beşeri ve İdari Bilimler, Spor Bilimleri</w:t>
      </w:r>
      <w:r>
        <w:t>) ve</w:t>
      </w:r>
      <w:r w:rsidRPr="008548C6">
        <w:t xml:space="preserve"> A3 </w:t>
      </w:r>
      <w:r>
        <w:t>(</w:t>
      </w:r>
      <w:r w:rsidRPr="008548C6">
        <w:t>Mimarlık, Planlama ve Tasarım</w:t>
      </w:r>
      <w:r>
        <w:t xml:space="preserve">) </w:t>
      </w:r>
      <w:r w:rsidRPr="008548C6">
        <w:t>Alan</w:t>
      </w:r>
      <w:r>
        <w:t>larına puan verilmemesine ilişkin eksik düzenlemenin;</w:t>
      </w:r>
      <w:proofErr w:type="gramEnd"/>
    </w:p>
    <w:p w:rsidR="00FC48C1" w:rsidRDefault="008548C6" w:rsidP="008548C6">
      <w:pPr>
        <w:pStyle w:val="NormalWeb"/>
        <w:spacing w:after="0"/>
        <w:jc w:val="both"/>
      </w:pPr>
      <w:proofErr w:type="gramStart"/>
      <w:r>
        <w:t>öncelikle</w:t>
      </w:r>
      <w:proofErr w:type="gramEnd"/>
      <w:r w:rsidRPr="00A01A15">
        <w:t xml:space="preserve"> </w:t>
      </w:r>
      <w:r w:rsidR="00370018" w:rsidRPr="00A01A15">
        <w:t xml:space="preserve">YÜRÜTMESİNİN DURDURULMASI </w:t>
      </w:r>
      <w:r w:rsidR="002A0263" w:rsidRPr="00A01A15">
        <w:t xml:space="preserve">ve devamında </w:t>
      </w:r>
      <w:r w:rsidR="00370018" w:rsidRPr="00A01A15">
        <w:t>İPTALİ</w:t>
      </w:r>
      <w:r w:rsidR="002A0263" w:rsidRPr="00A01A15">
        <w:t xml:space="preserve"> </w:t>
      </w:r>
      <w:r w:rsidR="00FC48C1" w:rsidRPr="00A01A15">
        <w:t>talebinden</w:t>
      </w:r>
      <w:r w:rsidR="00FC48C1">
        <w:t xml:space="preserve"> ibarettir. </w:t>
      </w:r>
    </w:p>
    <w:p w:rsidR="00073971" w:rsidRPr="00FC48C1" w:rsidRDefault="00073971" w:rsidP="00FC48C1">
      <w:pPr>
        <w:pStyle w:val="NormalWeb"/>
        <w:spacing w:before="0" w:beforeAutospacing="0" w:after="0"/>
        <w:jc w:val="both"/>
      </w:pPr>
      <w:r w:rsidRPr="00073971">
        <w:rPr>
          <w:b/>
          <w:u w:val="single"/>
        </w:rPr>
        <w:t>T.TARİHİ</w:t>
      </w:r>
      <w:r w:rsidRPr="00073971">
        <w:rPr>
          <w:b/>
          <w:u w:val="single"/>
        </w:rPr>
        <w:tab/>
      </w:r>
      <w:r w:rsidRPr="00073971">
        <w:rPr>
          <w:b/>
          <w:u w:val="single"/>
        </w:rPr>
        <w:tab/>
      </w:r>
      <w:r w:rsidRPr="00073971">
        <w:rPr>
          <w:b/>
          <w:u w:val="single"/>
        </w:rPr>
        <w:tab/>
        <w:t>:</w:t>
      </w:r>
      <w:r w:rsidR="00A73236">
        <w:t>27</w:t>
      </w:r>
      <w:r w:rsidRPr="00073971">
        <w:t>.0</w:t>
      </w:r>
      <w:r w:rsidR="00A73236">
        <w:t>6</w:t>
      </w:r>
      <w:r w:rsidRPr="00073971">
        <w:t>.201</w:t>
      </w:r>
      <w:r w:rsidR="005E45A0">
        <w:t>8</w:t>
      </w:r>
    </w:p>
    <w:p w:rsidR="000150CB" w:rsidRDefault="004B544C" w:rsidP="00865FE6">
      <w:pPr>
        <w:pStyle w:val="NormalWeb"/>
        <w:spacing w:before="0" w:beforeAutospacing="0" w:after="0"/>
        <w:jc w:val="both"/>
      </w:pPr>
      <w:r w:rsidRPr="004A12E3">
        <w:rPr>
          <w:b/>
          <w:u w:val="single"/>
        </w:rPr>
        <w:t>AÇIKLAMALAR</w:t>
      </w:r>
      <w:r w:rsidRPr="004A12E3">
        <w:rPr>
          <w:b/>
          <w:u w:val="single"/>
        </w:rPr>
        <w:tab/>
      </w:r>
      <w:r w:rsidRPr="004A12E3">
        <w:rPr>
          <w:b/>
          <w:u w:val="single"/>
        </w:rPr>
        <w:tab/>
        <w:t>:</w:t>
      </w:r>
      <w:r w:rsidR="009570CD" w:rsidRPr="004A12E3">
        <w:t xml:space="preserve"> </w:t>
      </w:r>
      <w:r w:rsidR="000150CB" w:rsidRPr="000150CB">
        <w:t xml:space="preserve">14.05.2018 tarih ve 2018/11834 sayılı Bakanlar Kurulu Kararı ile düzenlenerek, 27.06.2018 tarih ve 30461 sayılı Resmi </w:t>
      </w:r>
      <w:proofErr w:type="spellStart"/>
      <w:r w:rsidR="000150CB" w:rsidRPr="000150CB">
        <w:t>Gazete’de</w:t>
      </w:r>
      <w:proofErr w:type="spellEnd"/>
      <w:r w:rsidR="000150CB" w:rsidRPr="000150CB">
        <w:t xml:space="preserve"> yayımlanan “Akademik </w:t>
      </w:r>
      <w:r w:rsidR="000150CB" w:rsidRPr="000150CB">
        <w:lastRenderedPageBreak/>
        <w:t xml:space="preserve">Teşvik Ödeneği </w:t>
      </w:r>
      <w:proofErr w:type="spellStart"/>
      <w:r w:rsidR="000150CB" w:rsidRPr="000150CB">
        <w:t>Yönetmeliği”nin</w:t>
      </w:r>
      <w:proofErr w:type="spellEnd"/>
      <w:r w:rsidR="000150CB" w:rsidRPr="000150CB">
        <w:t xml:space="preserve"> </w:t>
      </w:r>
      <w:r w:rsidR="000150CB">
        <w:t xml:space="preserve">yürürlüğe girmesiyle birlikte </w:t>
      </w:r>
      <w:r w:rsidR="000150CB" w:rsidRPr="000150CB">
        <w:t xml:space="preserve">31 Aralık 2016 tarihli ve 3. Mükerrer 29935 Sayılı Resmî </w:t>
      </w:r>
      <w:proofErr w:type="spellStart"/>
      <w:r w:rsidR="000150CB" w:rsidRPr="000150CB">
        <w:t>Gazete’de</w:t>
      </w:r>
      <w:proofErr w:type="spellEnd"/>
      <w:r w:rsidR="000150CB" w:rsidRPr="000150CB">
        <w:t xml:space="preserve"> yayımlanan Akademik Teşvik Ödeneği Yönetmeliği</w:t>
      </w:r>
      <w:r w:rsidR="000150CB">
        <w:t xml:space="preserve"> yürürlükten kalkmıştır. </w:t>
      </w:r>
    </w:p>
    <w:p w:rsidR="00757FCD" w:rsidRDefault="000150CB" w:rsidP="000150CB">
      <w:pPr>
        <w:pStyle w:val="NormalWeb"/>
        <w:spacing w:before="0" w:beforeAutospacing="0" w:after="0"/>
        <w:ind w:firstLine="708"/>
        <w:jc w:val="both"/>
      </w:pPr>
      <w:r w:rsidRPr="000150CB">
        <w:t xml:space="preserve">27.06.2018 tarih ve 30461 sayılı Resmi </w:t>
      </w:r>
      <w:proofErr w:type="spellStart"/>
      <w:r w:rsidRPr="000150CB">
        <w:t>Gazete’de</w:t>
      </w:r>
      <w:proofErr w:type="spellEnd"/>
      <w:r w:rsidRPr="000150CB">
        <w:t xml:space="preserve"> yayımlanan “Akademi</w:t>
      </w:r>
      <w:r>
        <w:t xml:space="preserve">k Teşvik Ödeneği </w:t>
      </w:r>
      <w:proofErr w:type="spellStart"/>
      <w:r>
        <w:t>Yönetmeliği”nde</w:t>
      </w:r>
      <w:proofErr w:type="spellEnd"/>
      <w:r w:rsidR="00D10606">
        <w:t xml:space="preserve"> dava konusu hükümler yönünden hukuka uyarlık bulunmadığından iptali hakkaniyet gereğidir. </w:t>
      </w:r>
      <w:r w:rsidR="003026F7">
        <w:t>Şöyle ki;</w:t>
      </w:r>
    </w:p>
    <w:p w:rsidR="000150CB" w:rsidRDefault="003026F7" w:rsidP="00D10606">
      <w:pPr>
        <w:pStyle w:val="NormalWeb"/>
        <w:spacing w:after="0"/>
        <w:ind w:firstLine="708"/>
        <w:jc w:val="both"/>
      </w:pPr>
      <w:r w:rsidRPr="003026F7">
        <w:rPr>
          <w:b/>
        </w:rPr>
        <w:t>1)</w:t>
      </w:r>
      <w:r>
        <w:t>-</w:t>
      </w:r>
      <w:r w:rsidR="008639CF" w:rsidRPr="008639CF">
        <w:t xml:space="preserve"> </w:t>
      </w:r>
      <w:r w:rsidR="00B50DAC">
        <w:t xml:space="preserve">Yönetmeliğin </w:t>
      </w:r>
      <w:r w:rsidR="000150CB" w:rsidRPr="000150CB">
        <w:t xml:space="preserve">“Tanımlar ve Kısaltmalar” başlıklı 3. Maddesinin 1. Fıkrasının (k) bendinde </w:t>
      </w:r>
      <w:r w:rsidR="000150CB" w:rsidRPr="000150CB">
        <w:rPr>
          <w:b/>
        </w:rPr>
        <w:t xml:space="preserve">“Tanınmış ulusal yayınevi: En az beş yıldır ulusal düzeyde düzenli faaliyet yürüten, daha önce aynı alanda farklı yazarlara ait en az yirmi kitap yayımlamış ve </w:t>
      </w:r>
      <w:r w:rsidR="000150CB" w:rsidRPr="000150CB">
        <w:rPr>
          <w:b/>
          <w:u w:val="single"/>
        </w:rPr>
        <w:t>yükseköğretim kurumu senatosunun kararıyla alanında etkinliği ve saygınlığı kabul edilen</w:t>
      </w:r>
      <w:r w:rsidR="000150CB" w:rsidRPr="000150CB">
        <w:rPr>
          <w:b/>
        </w:rPr>
        <w:t xml:space="preserve"> yayınevini</w:t>
      </w:r>
      <w:proofErr w:type="gramStart"/>
      <w:r w:rsidR="000150CB" w:rsidRPr="000150CB">
        <w:rPr>
          <w:b/>
        </w:rPr>
        <w:t>..</w:t>
      </w:r>
      <w:proofErr w:type="gramEnd"/>
      <w:r w:rsidR="000150CB" w:rsidRPr="000150CB">
        <w:rPr>
          <w:b/>
        </w:rPr>
        <w:t xml:space="preserve"> </w:t>
      </w:r>
      <w:proofErr w:type="gramStart"/>
      <w:r w:rsidR="000150CB" w:rsidRPr="000150CB">
        <w:rPr>
          <w:b/>
        </w:rPr>
        <w:t>ifade</w:t>
      </w:r>
      <w:proofErr w:type="gramEnd"/>
      <w:r w:rsidR="000150CB" w:rsidRPr="000150CB">
        <w:rPr>
          <w:b/>
        </w:rPr>
        <w:t xml:space="preserve"> eder.</w:t>
      </w:r>
      <w:r w:rsidR="000150CB">
        <w:t>” tanımına yer verilmiştir. Madde hükmünde geçen “</w:t>
      </w:r>
      <w:proofErr w:type="gramStart"/>
      <w:r w:rsidR="000150CB">
        <w:t>..</w:t>
      </w:r>
      <w:proofErr w:type="gramEnd"/>
      <w:r w:rsidR="000150CB" w:rsidRPr="000150CB">
        <w:t>yükseköğretim kurumu senatosunun kararıyla alanında etkinliği ve saygınlığı kabul edilen</w:t>
      </w:r>
      <w:r w:rsidR="000150CB">
        <w:t xml:space="preserve">..” ibaresinde hukuka uyarlık bulunmamaktadır. </w:t>
      </w:r>
    </w:p>
    <w:p w:rsidR="00A73236" w:rsidRDefault="000D1D12" w:rsidP="000D1D12">
      <w:pPr>
        <w:pStyle w:val="NormalWeb"/>
        <w:spacing w:after="0"/>
        <w:ind w:firstLine="708"/>
        <w:jc w:val="both"/>
      </w:pPr>
      <w:r>
        <w:t xml:space="preserve">Akademik Teşvik Ödeneğinin belirlenmesinde dikkate alınan </w:t>
      </w:r>
      <w:r w:rsidR="00A73236" w:rsidRPr="00A73236">
        <w:t xml:space="preserve">Akademik </w:t>
      </w:r>
      <w:r>
        <w:t>T</w:t>
      </w:r>
      <w:r w:rsidR="00A73236" w:rsidRPr="00A73236">
        <w:t xml:space="preserve">eşvik </w:t>
      </w:r>
      <w:r>
        <w:t>P</w:t>
      </w:r>
      <w:r w:rsidR="00A73236" w:rsidRPr="00A73236">
        <w:t xml:space="preserve">uanı, Yönetmeliğin ekinde yer alan Faaliyet Hesaplama Tablosu </w:t>
      </w:r>
      <w:r w:rsidR="00A73236">
        <w:t xml:space="preserve">(Tablo 4) </w:t>
      </w:r>
      <w:r w:rsidR="00150BD4">
        <w:t xml:space="preserve">uyarınca belirlenen Faaliyet Puanı </w:t>
      </w:r>
      <w:r w:rsidR="00A73236" w:rsidRPr="00A73236">
        <w:t>esas alınarak</w:t>
      </w:r>
      <w:r w:rsidR="00F729BD">
        <w:t xml:space="preserve"> hesaplanmakta</w:t>
      </w:r>
      <w:r>
        <w:t>dır. Tablo 4’te yer alan</w:t>
      </w:r>
      <w:r w:rsidR="00E23631">
        <w:t xml:space="preserve"> “</w:t>
      </w:r>
      <w:r>
        <w:t>YAYIN</w:t>
      </w:r>
      <w:r w:rsidR="00E23631">
        <w:t xml:space="preserve">” </w:t>
      </w:r>
      <w:r>
        <w:t>kısmında ise;</w:t>
      </w:r>
      <w:r w:rsidR="00E23631">
        <w:t xml:space="preserve"> </w:t>
      </w:r>
      <w:r>
        <w:t xml:space="preserve">“tanınmış ulusal yayınevleri tarafından yayımlanmış özgün bilimsel kitap” ve “tanınmış ulusal yayınevleri tarafından yayımlanmış özgün bilimsel kitaplarda bölüm yazarlığı” </w:t>
      </w:r>
      <w:proofErr w:type="gramStart"/>
      <w:r>
        <w:t>kriterlerine</w:t>
      </w:r>
      <w:proofErr w:type="gramEnd"/>
      <w:r>
        <w:t xml:space="preserve"> yer verilmiştir.</w:t>
      </w:r>
    </w:p>
    <w:p w:rsidR="00B50DAC" w:rsidRDefault="000D1D12" w:rsidP="00D10606">
      <w:pPr>
        <w:pStyle w:val="NormalWeb"/>
        <w:spacing w:after="0"/>
        <w:ind w:firstLine="708"/>
        <w:jc w:val="both"/>
      </w:pPr>
      <w:r>
        <w:t xml:space="preserve">Yönetmeliğin </w:t>
      </w:r>
      <w:r w:rsidRPr="000D1D12">
        <w:t>3</w:t>
      </w:r>
      <w:r>
        <w:t>/1-</w:t>
      </w:r>
      <w:r w:rsidRPr="000D1D12">
        <w:t xml:space="preserve">(k) </w:t>
      </w:r>
      <w:r>
        <w:t>maddesinde t</w:t>
      </w:r>
      <w:r w:rsidRPr="000D1D12">
        <w:t>anınmış ulusal yayınevi</w:t>
      </w:r>
      <w:r>
        <w:t>nin tanımına yer verilmiş olup, b</w:t>
      </w:r>
      <w:r w:rsidR="000150CB" w:rsidRPr="000150CB">
        <w:t xml:space="preserve">u </w:t>
      </w:r>
      <w:r w:rsidR="000150CB">
        <w:t>düzenleme uyarınca, bir</w:t>
      </w:r>
      <w:r w:rsidR="000150CB" w:rsidRPr="000150CB">
        <w:t xml:space="preserve"> yayınevinin </w:t>
      </w:r>
      <w:r w:rsidR="000150CB">
        <w:t>“</w:t>
      </w:r>
      <w:r w:rsidR="000150CB" w:rsidRPr="000150CB">
        <w:t>tanınmış ulusal yayınevi</w:t>
      </w:r>
      <w:r w:rsidR="000150CB">
        <w:t xml:space="preserve">” olarak kabul edilmesi için somut, objektif ve açık bir </w:t>
      </w:r>
      <w:proofErr w:type="gramStart"/>
      <w:r w:rsidR="000150CB">
        <w:t>kriter</w:t>
      </w:r>
      <w:proofErr w:type="gramEnd"/>
      <w:r w:rsidR="000150CB">
        <w:t xml:space="preserve"> belirle</w:t>
      </w:r>
      <w:r w:rsidR="00B50DAC">
        <w:t>nme</w:t>
      </w:r>
      <w:r>
        <w:t xml:space="preserve">diği görülmektedir. </w:t>
      </w:r>
      <w:r w:rsidR="00B50DAC">
        <w:t>Tam tersine</w:t>
      </w:r>
      <w:r w:rsidR="000150CB">
        <w:t xml:space="preserve">, </w:t>
      </w:r>
      <w:r w:rsidR="000150CB" w:rsidRPr="000150CB">
        <w:t xml:space="preserve"> </w:t>
      </w:r>
      <w:r w:rsidR="00B50DAC">
        <w:t>“</w:t>
      </w:r>
      <w:r w:rsidR="000150CB" w:rsidRPr="00B50DAC">
        <w:rPr>
          <w:i/>
        </w:rPr>
        <w:t>üniversite senatosu tarafından etkinliği ve saygınlığı kabul edilen</w:t>
      </w:r>
      <w:r w:rsidR="00B50DAC" w:rsidRPr="00B50DAC">
        <w:rPr>
          <w:i/>
        </w:rPr>
        <w:t>”</w:t>
      </w:r>
      <w:r w:rsidR="000150CB" w:rsidRPr="000150CB">
        <w:t xml:space="preserve"> denil</w:t>
      </w:r>
      <w:r>
        <w:t>mek suretiyle</w:t>
      </w:r>
      <w:r w:rsidR="00B50DAC">
        <w:t>,</w:t>
      </w:r>
      <w:r w:rsidR="000150CB" w:rsidRPr="000150CB">
        <w:t xml:space="preserve"> </w:t>
      </w:r>
      <w:r w:rsidR="000150CB">
        <w:t xml:space="preserve">sübjektif ve </w:t>
      </w:r>
      <w:r w:rsidR="000150CB" w:rsidRPr="000150CB">
        <w:t xml:space="preserve">kişilerin </w:t>
      </w:r>
      <w:proofErr w:type="gramStart"/>
      <w:r w:rsidR="000150CB" w:rsidRPr="000150CB">
        <w:t>inisiyatifine</w:t>
      </w:r>
      <w:proofErr w:type="gramEnd"/>
      <w:r w:rsidR="000150CB" w:rsidRPr="000150CB">
        <w:t xml:space="preserve"> </w:t>
      </w:r>
      <w:r w:rsidR="000150CB">
        <w:t xml:space="preserve">bağlı bir kritere yer verilmiştir. </w:t>
      </w:r>
      <w:r w:rsidR="00B50DAC">
        <w:t>Üniversite senatosunun bir yayınevini neye göre “etkin</w:t>
      </w:r>
      <w:r w:rsidR="002C177A">
        <w:t>”</w:t>
      </w:r>
      <w:r w:rsidR="00B50DAC">
        <w:t xml:space="preserve"> ve </w:t>
      </w:r>
      <w:r w:rsidR="002C177A">
        <w:t>“</w:t>
      </w:r>
      <w:r w:rsidR="00B50DAC">
        <w:t xml:space="preserve">saygın” olarak kabul edeceği ve bu belirlemeyi yaparken hangi somut ve objektif </w:t>
      </w:r>
      <w:proofErr w:type="gramStart"/>
      <w:r w:rsidR="00B50DAC">
        <w:t>kriterler</w:t>
      </w:r>
      <w:r>
        <w:t>den</w:t>
      </w:r>
      <w:proofErr w:type="gramEnd"/>
      <w:r>
        <w:t xml:space="preserve"> hareket edileceği ise </w:t>
      </w:r>
      <w:r w:rsidR="00B50DAC">
        <w:t xml:space="preserve">belli değildir. </w:t>
      </w:r>
    </w:p>
    <w:p w:rsidR="002C177A" w:rsidRDefault="00B50DAC" w:rsidP="00D10606">
      <w:pPr>
        <w:pStyle w:val="NormalWeb"/>
        <w:spacing w:after="0"/>
        <w:ind w:firstLine="708"/>
        <w:jc w:val="both"/>
      </w:pPr>
      <w:r>
        <w:t>Tanınmış ulusal yayınevinin belirlenmesinde</w:t>
      </w:r>
      <w:r w:rsidR="000D1D12">
        <w:t>,</w:t>
      </w:r>
      <w:r>
        <w:t xml:space="preserve"> somut, </w:t>
      </w:r>
      <w:r w:rsidR="002C177A">
        <w:t>objektif</w:t>
      </w:r>
      <w:r>
        <w:t xml:space="preserve"> ve net </w:t>
      </w:r>
      <w:proofErr w:type="gramStart"/>
      <w:r>
        <w:t>kriterlerin</w:t>
      </w:r>
      <w:proofErr w:type="gramEnd"/>
      <w:r>
        <w:t xml:space="preserve"> belirlenmemesinin uygulamada bazı sıkıntıları da beraberinde getireceği şüphesizdir. </w:t>
      </w:r>
      <w:r w:rsidR="000150CB" w:rsidRPr="000150CB">
        <w:t>Bu</w:t>
      </w:r>
      <w:r>
        <w:t>na göre,</w:t>
      </w:r>
      <w:r w:rsidR="000150CB" w:rsidRPr="000150CB">
        <w:t xml:space="preserve"> bazı yayınevleri</w:t>
      </w:r>
      <w:r>
        <w:t xml:space="preserve"> üniversite senatolarının sübjektif </w:t>
      </w:r>
      <w:proofErr w:type="gramStart"/>
      <w:r>
        <w:t>inisiyatifiyle</w:t>
      </w:r>
      <w:proofErr w:type="gramEnd"/>
      <w:r>
        <w:t xml:space="preserve"> </w:t>
      </w:r>
      <w:r w:rsidRPr="00B50DAC">
        <w:t xml:space="preserve">“tanınmış ulusal yayınevi” </w:t>
      </w:r>
      <w:r w:rsidR="000150CB" w:rsidRPr="000150CB">
        <w:t>kapsam</w:t>
      </w:r>
      <w:r>
        <w:t>ın</w:t>
      </w:r>
      <w:r w:rsidR="000150CB" w:rsidRPr="000150CB">
        <w:t>da değerlendiril</w:t>
      </w:r>
      <w:r>
        <w:t xml:space="preserve">irken, </w:t>
      </w:r>
      <w:r w:rsidR="000150CB" w:rsidRPr="000150CB">
        <w:t>bazıları</w:t>
      </w:r>
      <w:r>
        <w:t xml:space="preserve"> bu kapsamda</w:t>
      </w:r>
      <w:r w:rsidR="000150CB" w:rsidRPr="000150CB">
        <w:t xml:space="preserve"> değerlendirilmeye</w:t>
      </w:r>
      <w:r>
        <w:t>c</w:t>
      </w:r>
      <w:r w:rsidR="000150CB" w:rsidRPr="000150CB">
        <w:t>ek</w:t>
      </w:r>
      <w:r>
        <w:t>, bu durum ise</w:t>
      </w:r>
      <w:r w:rsidR="000150CB" w:rsidRPr="000150CB">
        <w:t xml:space="preserve"> zaten zor şartlarda yayın çıkarmaya çalışan bilim insanlarının tekelleşen yayınevlerine mecbur bırak</w:t>
      </w:r>
      <w:r>
        <w:t xml:space="preserve">ılmasına yol açabilecektir. </w:t>
      </w:r>
      <w:r w:rsidR="000150CB" w:rsidRPr="000150CB">
        <w:t xml:space="preserve">Ayrıca </w:t>
      </w:r>
      <w:r>
        <w:t>üniversite senatosu tarafından bu kapsamda değerlendirilmeyen</w:t>
      </w:r>
      <w:r w:rsidR="000150CB" w:rsidRPr="000150CB">
        <w:t xml:space="preserve"> yayınevleri </w:t>
      </w:r>
      <w:r>
        <w:t>de, “</w:t>
      </w:r>
      <w:r w:rsidR="000150CB" w:rsidRPr="000150CB">
        <w:t>etkin olmayan</w:t>
      </w:r>
      <w:r>
        <w:t>”</w:t>
      </w:r>
      <w:r w:rsidR="000150CB" w:rsidRPr="000150CB">
        <w:t xml:space="preserve"> ve </w:t>
      </w:r>
      <w:r>
        <w:t>“</w:t>
      </w:r>
      <w:r w:rsidR="000150CB" w:rsidRPr="000150CB">
        <w:t>saygın olamayan</w:t>
      </w:r>
      <w:r>
        <w:t>”</w:t>
      </w:r>
      <w:r w:rsidR="000150CB" w:rsidRPr="000150CB">
        <w:t xml:space="preserve"> olarak ayrıştırılmış olacaktır. </w:t>
      </w:r>
    </w:p>
    <w:p w:rsidR="000150CB" w:rsidRDefault="002C177A" w:rsidP="00D10606">
      <w:pPr>
        <w:pStyle w:val="NormalWeb"/>
        <w:spacing w:after="0"/>
        <w:ind w:firstLine="708"/>
        <w:jc w:val="both"/>
      </w:pPr>
      <w:r>
        <w:t>Bu bağlamda,</w:t>
      </w:r>
      <w:r w:rsidRPr="002C177A">
        <w:t xml:space="preserve"> </w:t>
      </w:r>
      <w:r>
        <w:t>t</w:t>
      </w:r>
      <w:r w:rsidRPr="002C177A">
        <w:t xml:space="preserve">anınmış ulusal yayınevinin </w:t>
      </w:r>
      <w:r w:rsidR="000D1D12">
        <w:t xml:space="preserve">belirlenmesinde </w:t>
      </w:r>
      <w:r>
        <w:t xml:space="preserve">somut ve objektif </w:t>
      </w:r>
      <w:proofErr w:type="gramStart"/>
      <w:r>
        <w:t>kriterlere</w:t>
      </w:r>
      <w:proofErr w:type="gramEnd"/>
      <w:r>
        <w:t xml:space="preserve"> </w:t>
      </w:r>
      <w:r w:rsidR="000D1D12">
        <w:t>yer verilerek belirli bir standarda bağlanması şarttır. Aksi takdirde</w:t>
      </w:r>
      <w:r>
        <w:t xml:space="preserve">, </w:t>
      </w:r>
      <w:r w:rsidR="000D1D12">
        <w:t xml:space="preserve">salt </w:t>
      </w:r>
      <w:r w:rsidRPr="000D1D12">
        <w:t xml:space="preserve">üniversite senatosunun </w:t>
      </w:r>
      <w:proofErr w:type="gramStart"/>
      <w:r w:rsidRPr="000D1D12">
        <w:t>inisiyatifi</w:t>
      </w:r>
      <w:r w:rsidR="000D1D12" w:rsidRPr="000D1D12">
        <w:t>ne</w:t>
      </w:r>
      <w:proofErr w:type="gramEnd"/>
      <w:r w:rsidR="000D1D12" w:rsidRPr="000D1D12">
        <w:t xml:space="preserve"> bağlanmış</w:t>
      </w:r>
      <w:r w:rsidR="000D1D12">
        <w:rPr>
          <w:i/>
        </w:rPr>
        <w:t xml:space="preserve"> </w:t>
      </w:r>
      <w:r>
        <w:t xml:space="preserve">tamamen sübjektif bir </w:t>
      </w:r>
      <w:r w:rsidR="000D1D12">
        <w:t>değerlendirmenin</w:t>
      </w:r>
      <w:r>
        <w:t>, taraflı uygulamalara ve haksızlıklara yol aç</w:t>
      </w:r>
      <w:r w:rsidR="000D1D12">
        <w:t xml:space="preserve">ması kaçınılmazdır. </w:t>
      </w:r>
      <w:r w:rsidR="000150CB" w:rsidRPr="000150CB">
        <w:t>Bunu</w:t>
      </w:r>
      <w:r>
        <w:t>n</w:t>
      </w:r>
      <w:r w:rsidR="000150CB" w:rsidRPr="000150CB">
        <w:t xml:space="preserve"> yerine</w:t>
      </w:r>
      <w:r>
        <w:t>,</w:t>
      </w:r>
      <w:r w:rsidR="000150CB" w:rsidRPr="000150CB">
        <w:t xml:space="preserve"> </w:t>
      </w:r>
      <w:r w:rsidR="00B50DAC">
        <w:t>örneğin</w:t>
      </w:r>
      <w:r>
        <w:t>,</w:t>
      </w:r>
      <w:r w:rsidR="00B50DAC">
        <w:t xml:space="preserve"> </w:t>
      </w:r>
      <w:r>
        <w:t>“</w:t>
      </w:r>
      <w:r w:rsidR="000D1D12">
        <w:t xml:space="preserve">ulusal kütüphaneler </w:t>
      </w:r>
      <w:proofErr w:type="gramStart"/>
      <w:r w:rsidR="000D1D12">
        <w:t xml:space="preserve">ve </w:t>
      </w:r>
      <w:r w:rsidR="000150CB" w:rsidRPr="000150CB">
        <w:t xml:space="preserve"> üniversite</w:t>
      </w:r>
      <w:proofErr w:type="gramEnd"/>
      <w:r w:rsidR="000150CB" w:rsidRPr="000150CB">
        <w:t xml:space="preserve"> kütüphaneleri katalogla</w:t>
      </w:r>
      <w:r>
        <w:t>rında yer almak”</w:t>
      </w:r>
      <w:r w:rsidR="000150CB" w:rsidRPr="000150CB">
        <w:t xml:space="preserve"> gibi </w:t>
      </w:r>
      <w:r>
        <w:t>somu</w:t>
      </w:r>
      <w:r w:rsidR="00B469C3">
        <w:t>t ve net</w:t>
      </w:r>
      <w:r>
        <w:t xml:space="preserve"> </w:t>
      </w:r>
      <w:r w:rsidR="000150CB" w:rsidRPr="000150CB">
        <w:t>bir kriter getirilmesi daha uygun ola</w:t>
      </w:r>
      <w:r w:rsidR="00B469C3">
        <w:t>caktır.</w:t>
      </w:r>
      <w:r w:rsidR="000D1D12" w:rsidRPr="000D1D12">
        <w:t xml:space="preserve"> </w:t>
      </w:r>
      <w:r w:rsidR="000D1D12">
        <w:t>Bu sebeple, dava konusu düzenlemenin iptali hakkaniyet gereğidir.</w:t>
      </w:r>
    </w:p>
    <w:p w:rsidR="00A73236" w:rsidRDefault="00A73236" w:rsidP="00D10606">
      <w:pPr>
        <w:pStyle w:val="NormalWeb"/>
        <w:spacing w:after="0"/>
        <w:ind w:firstLine="708"/>
        <w:jc w:val="both"/>
      </w:pPr>
      <w:r w:rsidRPr="00A73236">
        <w:t xml:space="preserve">2)- “Tanımlar ve Kısaltmalar” başlıklı 3. Maddesinin 1. Fıkrasının (l) bendinde </w:t>
      </w:r>
      <w:r w:rsidRPr="000D1D12">
        <w:rPr>
          <w:b/>
        </w:rPr>
        <w:t xml:space="preserve">“Tanınmış uluslararası yayınevi: En az beş yıldır uluslararası düzeyde düzenli faaliyet yürüten, aynı alanda farklı yazarlara ait en az yirmi kitap yayımlamış ve </w:t>
      </w:r>
      <w:r w:rsidRPr="00D92BA2">
        <w:rPr>
          <w:b/>
          <w:u w:val="single"/>
        </w:rPr>
        <w:t xml:space="preserve">yükseköğretim </w:t>
      </w:r>
      <w:r w:rsidRPr="00D92BA2">
        <w:rPr>
          <w:b/>
          <w:u w:val="single"/>
        </w:rPr>
        <w:lastRenderedPageBreak/>
        <w:t>kurumu senatosunun kararıyla alanında etkinliği ve saygınlığı kabul edilen</w:t>
      </w:r>
      <w:r w:rsidRPr="000D1D12">
        <w:rPr>
          <w:b/>
        </w:rPr>
        <w:t xml:space="preserve"> yayınevini</w:t>
      </w:r>
      <w:proofErr w:type="gramStart"/>
      <w:r w:rsidRPr="000D1D12">
        <w:rPr>
          <w:b/>
        </w:rPr>
        <w:t>..</w:t>
      </w:r>
      <w:proofErr w:type="gramEnd"/>
      <w:r w:rsidRPr="000D1D12">
        <w:rPr>
          <w:b/>
        </w:rPr>
        <w:t xml:space="preserve"> </w:t>
      </w:r>
      <w:proofErr w:type="gramStart"/>
      <w:r w:rsidRPr="000D1D12">
        <w:rPr>
          <w:b/>
        </w:rPr>
        <w:t>ifade</w:t>
      </w:r>
      <w:proofErr w:type="gramEnd"/>
      <w:r w:rsidRPr="000D1D12">
        <w:rPr>
          <w:b/>
        </w:rPr>
        <w:t xml:space="preserve"> eder.”</w:t>
      </w:r>
      <w:r>
        <w:t xml:space="preserve"> tanımına yer verilmiştir.</w:t>
      </w:r>
      <w:r w:rsidR="00D92BA2" w:rsidRPr="00D92BA2">
        <w:t xml:space="preserve"> </w:t>
      </w:r>
      <w:r w:rsidR="00D92BA2">
        <w:t>Burada da aynı şekilde</w:t>
      </w:r>
      <w:r w:rsidR="00D92BA2" w:rsidRPr="00D92BA2">
        <w:t xml:space="preserve"> “</w:t>
      </w:r>
      <w:proofErr w:type="gramStart"/>
      <w:r w:rsidR="00D92BA2" w:rsidRPr="00D92BA2">
        <w:t>..</w:t>
      </w:r>
      <w:proofErr w:type="gramEnd"/>
      <w:r w:rsidR="00D92BA2" w:rsidRPr="00D92BA2">
        <w:t>yükseköğretim kurumu senatosunun kararıyla alanında etkinliği ve saygınlığı kabul edilen..” ibaresin</w:t>
      </w:r>
      <w:r w:rsidR="00D92BA2">
        <w:t>e yer verilerek, t</w:t>
      </w:r>
      <w:r w:rsidR="00D92BA2" w:rsidRPr="00D92BA2">
        <w:t>anınmış uluslararası yayınevi</w:t>
      </w:r>
      <w:r w:rsidR="00D92BA2">
        <w:t xml:space="preserve">nin belirlenmesi üniversite senatosunun kişisel kararına bırakılmıştır. Yukarıdaki madde metni bakımından yapmış olduğumuz açıklamalar, bu madde yönünden de geçerli olup, dava konusu düzenlemenin iptali gerekmektedir. </w:t>
      </w:r>
    </w:p>
    <w:p w:rsidR="00A73236" w:rsidRDefault="00150BD4" w:rsidP="00150BD4">
      <w:pPr>
        <w:pStyle w:val="NormalWeb"/>
        <w:spacing w:after="0"/>
        <w:ind w:firstLine="708"/>
        <w:jc w:val="both"/>
      </w:pPr>
      <w:r w:rsidRPr="00150BD4">
        <w:t xml:space="preserve">Akademik Teşvik </w:t>
      </w:r>
      <w:r>
        <w:t>Ödeneği hesabında önem arz eden</w:t>
      </w:r>
      <w:r w:rsidRPr="00150BD4">
        <w:t xml:space="preserve"> </w:t>
      </w:r>
      <w:r>
        <w:t xml:space="preserve">Faaliyet Puanı, </w:t>
      </w:r>
      <w:r w:rsidRPr="00150BD4">
        <w:t xml:space="preserve">Tablo 4’te yer alan </w:t>
      </w:r>
      <w:proofErr w:type="gramStart"/>
      <w:r>
        <w:t>kriterlere</w:t>
      </w:r>
      <w:proofErr w:type="gramEnd"/>
      <w:r>
        <w:t xml:space="preserve"> göre belirlenmektedir.  Tablo 4’te yer alan </w:t>
      </w:r>
      <w:r w:rsidRPr="00150BD4">
        <w:t xml:space="preserve">“YAYIN” kısmında ise; </w:t>
      </w:r>
      <w:r>
        <w:t>“tanınmış uluslararası yayınevleri tarafından yayımlanmış özgün bilimsel kitap”, “tanınmış uluslararası yayınevleri tarafından yayımlanmış özgün bilimsel kitap editörlüğü” ve “tanınmış uluslararası yayınevleri tarafından yayımlanmış özgün bilimsel kitaplarda bölüm</w:t>
      </w:r>
      <w:r w:rsidRPr="00150BD4">
        <w:t xml:space="preserve">” </w:t>
      </w:r>
      <w:proofErr w:type="gramStart"/>
      <w:r w:rsidRPr="00150BD4">
        <w:t>kriterlerine</w:t>
      </w:r>
      <w:proofErr w:type="gramEnd"/>
      <w:r w:rsidRPr="00150BD4">
        <w:t xml:space="preserve"> yer verilmiştir.</w:t>
      </w:r>
    </w:p>
    <w:p w:rsidR="00150BD4" w:rsidRDefault="00150BD4" w:rsidP="00150BD4">
      <w:pPr>
        <w:pStyle w:val="NormalWeb"/>
        <w:spacing w:after="0"/>
        <w:ind w:firstLine="708"/>
        <w:jc w:val="both"/>
      </w:pPr>
      <w:r>
        <w:t xml:space="preserve">Yönetmeliğin 3/1-(l) maddesinde tanınmış </w:t>
      </w:r>
      <w:r w:rsidRPr="00150BD4">
        <w:t xml:space="preserve">uluslararası </w:t>
      </w:r>
      <w:r>
        <w:t xml:space="preserve">yayınevinin tanımına yer verilmiş olup, bu düzenleme uyarınca, bir yayınevinin “tanınmış </w:t>
      </w:r>
      <w:r w:rsidRPr="00150BD4">
        <w:t xml:space="preserve">uluslararası </w:t>
      </w:r>
      <w:r>
        <w:t xml:space="preserve">yayınevi” olarak kabul edilmesi için somut, objektif ve açık bir </w:t>
      </w:r>
      <w:proofErr w:type="gramStart"/>
      <w:r>
        <w:t>kriter</w:t>
      </w:r>
      <w:proofErr w:type="gramEnd"/>
      <w:r>
        <w:t xml:space="preserve"> belirlenmemiş, tamamen üniversite senatosunun inisiyatifine bırakılmıştır. Üniversite senatosunun bir yayınevini neye göre “etkin” ve “saygın” olarak kabul edeceği ve bu belirlemeyi yaparken hangi somut ve objektif </w:t>
      </w:r>
      <w:proofErr w:type="gramStart"/>
      <w:r>
        <w:t>kriterlerden</w:t>
      </w:r>
      <w:proofErr w:type="gramEnd"/>
      <w:r>
        <w:t xml:space="preserve"> hareket edileceği ise belli değildir. </w:t>
      </w:r>
    </w:p>
    <w:p w:rsidR="00150BD4" w:rsidRDefault="00150BD4" w:rsidP="00150BD4">
      <w:pPr>
        <w:pStyle w:val="NormalWeb"/>
        <w:spacing w:after="0"/>
        <w:ind w:firstLine="708"/>
        <w:jc w:val="both"/>
      </w:pPr>
      <w:r>
        <w:t xml:space="preserve">Tanınmış </w:t>
      </w:r>
      <w:r w:rsidRPr="00150BD4">
        <w:t>uluslararası</w:t>
      </w:r>
      <w:r>
        <w:t xml:space="preserve"> yayınevinin belirlenmesinde, somut, objektif ve net </w:t>
      </w:r>
      <w:proofErr w:type="gramStart"/>
      <w:r>
        <w:t>kriterlerin</w:t>
      </w:r>
      <w:proofErr w:type="gramEnd"/>
      <w:r>
        <w:t xml:space="preserve"> belirlenmemesinin uygulamada bazı sıkıntıları da beraberinde getireceği şüphesizdir. Buna göre, bazı yayınevleri üniversite senatolarının sübjektif </w:t>
      </w:r>
      <w:proofErr w:type="gramStart"/>
      <w:r>
        <w:t>inisiyatifiyle</w:t>
      </w:r>
      <w:proofErr w:type="gramEnd"/>
      <w:r>
        <w:t xml:space="preserve"> “tanınmış </w:t>
      </w:r>
      <w:r w:rsidRPr="00150BD4">
        <w:t xml:space="preserve">uluslararası </w:t>
      </w:r>
      <w:r>
        <w:t xml:space="preserve">yayınevi” kapsamında değerlendirilirken, bazıları bu kapsamda değerlendirilmeyecek, bu durum ise zaten zor şartlarda yayın çıkarmaya çalışan bilim insanlarının tekelleşen yayınevlerine mecbur bırakılmasına yol açabilecektir. Ayrıca üniversite senatosu tarafından bu kapsamda değerlendirilmeyen yayınevleri de, “etkin olmayan” ve “saygın olamayan” olarak ayrıştırılmış olacaktır. </w:t>
      </w:r>
    </w:p>
    <w:p w:rsidR="00150BD4" w:rsidRDefault="00150BD4" w:rsidP="00150BD4">
      <w:pPr>
        <w:pStyle w:val="NormalWeb"/>
        <w:spacing w:after="0"/>
        <w:ind w:firstLine="708"/>
        <w:jc w:val="both"/>
      </w:pPr>
      <w:r>
        <w:t xml:space="preserve">Tanınmış </w:t>
      </w:r>
      <w:r w:rsidRPr="00150BD4">
        <w:t xml:space="preserve">uluslararası </w:t>
      </w:r>
      <w:r>
        <w:t xml:space="preserve">yayınevinin belirlenmesinde somut ve objektif </w:t>
      </w:r>
      <w:proofErr w:type="gramStart"/>
      <w:r>
        <w:t>kriterlere</w:t>
      </w:r>
      <w:proofErr w:type="gramEnd"/>
      <w:r>
        <w:t xml:space="preserve"> yer verilerek belirli bir standarda bağlanması gerekmektedir. Aksi takdirde, salt üniversite senatosunun </w:t>
      </w:r>
      <w:proofErr w:type="gramStart"/>
      <w:r>
        <w:t>inisiyatifine</w:t>
      </w:r>
      <w:proofErr w:type="gramEnd"/>
      <w:r>
        <w:t xml:space="preserve"> bağlanmış tamamen sübjektif bir </w:t>
      </w:r>
      <w:r w:rsidR="00A50450">
        <w:t>kriterin</w:t>
      </w:r>
      <w:r>
        <w:t>, taraflı uygulamalara ve haksızlıklara yol açması kaçınılmazdır. Bunun yerine, örneğin, “</w:t>
      </w:r>
      <w:r w:rsidR="00A50450">
        <w:t>uluslararası kütüphanelerde ve</w:t>
      </w:r>
      <w:r w:rsidR="00A50450" w:rsidRPr="00A50450">
        <w:t xml:space="preserve"> dünya genelinde üniversite kütüphaneleri </w:t>
      </w:r>
      <w:r>
        <w:t xml:space="preserve">kataloglarında yer almak” gibi somut ve net bir </w:t>
      </w:r>
      <w:proofErr w:type="gramStart"/>
      <w:r>
        <w:t>kriter</w:t>
      </w:r>
      <w:proofErr w:type="gramEnd"/>
      <w:r>
        <w:t xml:space="preserve"> getirilmesi daha uygun olacaktır. Bu sebeple, dava konusu düzenlemenin iptali hakkaniyet gereğidir.</w:t>
      </w:r>
    </w:p>
    <w:p w:rsidR="00A73236" w:rsidRDefault="00A50450" w:rsidP="00D10606">
      <w:pPr>
        <w:pStyle w:val="NormalWeb"/>
        <w:spacing w:after="0"/>
        <w:ind w:firstLine="708"/>
        <w:jc w:val="both"/>
      </w:pPr>
      <w:r w:rsidRPr="00A50450">
        <w:t>3)- “Akademik teşvik faaliyet alanlarının değerlendirilmesi” başlıklı 7. Maddesinin 1. Fıkrasında yer alan “</w:t>
      </w:r>
      <w:r w:rsidRPr="008C1B3D">
        <w:rPr>
          <w:b/>
        </w:rPr>
        <w:t>Başvuru sahiplerinin sadece kendi alanı ile ilgili yapmış olduğu faaliyetler akademik teşvik kapsamında değerlendirilir.</w:t>
      </w:r>
      <w:r w:rsidRPr="00A50450">
        <w:t xml:space="preserve">” </w:t>
      </w:r>
      <w:r w:rsidR="008C1B3D">
        <w:t>i</w:t>
      </w:r>
      <w:r w:rsidRPr="00A50450">
        <w:t>baresinin</w:t>
      </w:r>
      <w:r>
        <w:t xml:space="preserve"> iptali hakkaniyet gereğidir.</w:t>
      </w:r>
    </w:p>
    <w:p w:rsidR="00346047" w:rsidRDefault="00A50450" w:rsidP="00D10606">
      <w:pPr>
        <w:pStyle w:val="NormalWeb"/>
        <w:spacing w:after="0"/>
        <w:ind w:firstLine="708"/>
        <w:jc w:val="both"/>
      </w:pPr>
      <w:r>
        <w:t>Bilindiği üzere</w:t>
      </w:r>
      <w:r w:rsidR="00346047">
        <w:t>,</w:t>
      </w:r>
      <w:r>
        <w:t xml:space="preserve"> akademik faaliyetler her zaman belirli bir alan ile sınırlı kalmamakta, </w:t>
      </w:r>
      <w:r w:rsidR="00346047" w:rsidRPr="00346047">
        <w:t>disiplinler arası ortak proje ve araştırmaları</w:t>
      </w:r>
      <w:r w:rsidR="00346047">
        <w:t xml:space="preserve"> gerekli kılmaktadır.</w:t>
      </w:r>
      <w:r>
        <w:t xml:space="preserve"> </w:t>
      </w:r>
      <w:r w:rsidR="00346047">
        <w:t xml:space="preserve">Akademik alanda işbirliğinin, </w:t>
      </w:r>
      <w:r w:rsidRPr="00A50450">
        <w:t xml:space="preserve"> farklı </w:t>
      </w:r>
      <w:r w:rsidR="00346047">
        <w:t>alanlarda üretilen bilginin bir</w:t>
      </w:r>
      <w:r w:rsidRPr="00A50450">
        <w:t>birini destekle</w:t>
      </w:r>
      <w:r w:rsidR="00346047">
        <w:t>mesinin</w:t>
      </w:r>
      <w:r w:rsidRPr="00A50450">
        <w:t xml:space="preserve"> ve disiplinler arası </w:t>
      </w:r>
      <w:r w:rsidR="00346047">
        <w:t xml:space="preserve">ortak </w:t>
      </w:r>
      <w:r w:rsidRPr="00A50450">
        <w:t xml:space="preserve">çalışmaların </w:t>
      </w:r>
      <w:r w:rsidR="00346047">
        <w:t>ürünü</w:t>
      </w:r>
      <w:r w:rsidRPr="00A50450">
        <w:t xml:space="preserve"> </w:t>
      </w:r>
      <w:r w:rsidR="00346047">
        <w:t xml:space="preserve">olan </w:t>
      </w:r>
      <w:r w:rsidRPr="00A50450">
        <w:t>ortak proje ve araştırmaların takdir edil</w:t>
      </w:r>
      <w:r w:rsidR="00346047">
        <w:t>erek desteklenmesi</w:t>
      </w:r>
      <w:r w:rsidRPr="00A50450">
        <w:t xml:space="preserve"> gerek</w:t>
      </w:r>
      <w:r w:rsidR="00346047">
        <w:t>mekte</w:t>
      </w:r>
      <w:r w:rsidR="008C1B3D">
        <w:t xml:space="preserve">dir. Ancak, </w:t>
      </w:r>
      <w:r w:rsidR="00346047">
        <w:t xml:space="preserve"> </w:t>
      </w:r>
      <w:r w:rsidR="008C1B3D">
        <w:t>a</w:t>
      </w:r>
      <w:r w:rsidR="008C1B3D" w:rsidRPr="008C1B3D">
        <w:t>kademik teşvik faaliyet alanlarının değerlendirilmesi</w:t>
      </w:r>
      <w:r w:rsidR="008C1B3D">
        <w:t>nde, b</w:t>
      </w:r>
      <w:r w:rsidR="008C1B3D" w:rsidRPr="008C1B3D">
        <w:t>aşvuru sahiplerinin sadece kendi alanı ile ilgili yapmış olduğu faaliyetler</w:t>
      </w:r>
      <w:r w:rsidR="008C1B3D">
        <w:t>in</w:t>
      </w:r>
      <w:r w:rsidR="008C1B3D" w:rsidRPr="008C1B3D">
        <w:t xml:space="preserve"> akademik teşvik </w:t>
      </w:r>
      <w:r w:rsidR="008C1B3D" w:rsidRPr="008C1B3D">
        <w:lastRenderedPageBreak/>
        <w:t>kapsamında değerlendiril</w:t>
      </w:r>
      <w:r w:rsidR="008C1B3D">
        <w:t>mesi, bu anlamda bir</w:t>
      </w:r>
      <w:r w:rsidR="00346047">
        <w:t xml:space="preserve"> kısıtlama</w:t>
      </w:r>
      <w:r w:rsidR="008C1B3D">
        <w:t>ya</w:t>
      </w:r>
      <w:r w:rsidR="00346047">
        <w:t xml:space="preserve"> yol açmakta</w:t>
      </w:r>
      <w:r w:rsidR="008C1B3D">
        <w:t xml:space="preserve">dır. Dava konusu madde hükmü </w:t>
      </w:r>
      <w:r w:rsidR="00346047">
        <w:t>akademik işbirliğini özendirici</w:t>
      </w:r>
      <w:r w:rsidR="008C1B3D">
        <w:t xml:space="preserve"> olmaktan</w:t>
      </w:r>
      <w:r w:rsidR="00346047">
        <w:t xml:space="preserve"> uzak</w:t>
      </w:r>
      <w:r w:rsidR="008C1B3D">
        <w:t xml:space="preserve"> olup, iptali gerekmektedir.</w:t>
      </w:r>
    </w:p>
    <w:p w:rsidR="00A50450" w:rsidRDefault="00346047" w:rsidP="00D10606">
      <w:pPr>
        <w:pStyle w:val="NormalWeb"/>
        <w:spacing w:after="0"/>
        <w:ind w:firstLine="708"/>
        <w:jc w:val="both"/>
      </w:pPr>
      <w:r>
        <w:t xml:space="preserve"> </w:t>
      </w:r>
      <w:r w:rsidR="00A50450" w:rsidRPr="00A50450">
        <w:t xml:space="preserve"> </w:t>
      </w:r>
      <w:r w:rsidR="008C1B3D" w:rsidRPr="008C1B3D">
        <w:t>A</w:t>
      </w:r>
      <w:r w:rsidR="00D536DA">
        <w:t>yrıca, a</w:t>
      </w:r>
      <w:r w:rsidR="008C1B3D" w:rsidRPr="008C1B3D">
        <w:t xml:space="preserve">kademik teşvik faaliyet alanlarının </w:t>
      </w:r>
      <w:r w:rsidR="008C1B3D">
        <w:t xml:space="preserve">sınırları çizilirken, belirli bir faaliyetin başvuru sahibinin kendi alanı içinde kalıp kalmadığının açık ve net bir biçimde ortaya konulabilmesi de kimi zaman zor olacak, bu durum uygulamada ihtilafların yaşanmasına sebebiyet verebilecektir. </w:t>
      </w:r>
    </w:p>
    <w:p w:rsidR="00D536DA" w:rsidRDefault="00D536DA" w:rsidP="00D536DA">
      <w:pPr>
        <w:pStyle w:val="NormalWeb"/>
        <w:spacing w:after="0"/>
        <w:ind w:firstLine="708"/>
        <w:jc w:val="both"/>
      </w:pPr>
      <w:r>
        <w:t>Öte yandan, dava konusu düzenleme</w:t>
      </w:r>
      <w:r w:rsidRPr="00A50450">
        <w:t xml:space="preserve"> </w:t>
      </w:r>
      <w:r>
        <w:t>nedeniyle,</w:t>
      </w:r>
      <w:r w:rsidRPr="00A50450">
        <w:t xml:space="preserve"> akademisyenlerin proje kapsamında yaptığı çalışma</w:t>
      </w:r>
      <w:r>
        <w:t>lar</w:t>
      </w:r>
      <w:r w:rsidRPr="00A50450">
        <w:t xml:space="preserve">ın kendi alanı ile ilgili </w:t>
      </w:r>
      <w:r>
        <w:t>olduğunu ispatlamak için</w:t>
      </w:r>
      <w:r w:rsidRPr="00A50450">
        <w:t xml:space="preserve"> ek belgeler sunması</w:t>
      </w:r>
      <w:r>
        <w:t xml:space="preserve"> gerekecektir. G</w:t>
      </w:r>
      <w:r w:rsidRPr="008C1B3D">
        <w:t>ereksiz kırtasiye</w:t>
      </w:r>
      <w:r>
        <w:t>ciliğe yol açacak olan bu durum sıkıntılara neden olacaktır.</w:t>
      </w:r>
    </w:p>
    <w:p w:rsidR="00D536DA" w:rsidRDefault="00D536DA" w:rsidP="00D536DA">
      <w:pPr>
        <w:pStyle w:val="NormalWeb"/>
        <w:spacing w:after="0"/>
        <w:ind w:firstLine="708"/>
        <w:jc w:val="both"/>
      </w:pPr>
      <w:r>
        <w:t>Bu bağlamda, dava konusu düzenlemenin, akademik alanda ortak ve bir</w:t>
      </w:r>
      <w:r w:rsidRPr="00D536DA">
        <w:t>b</w:t>
      </w:r>
      <w:r>
        <w:t>i</w:t>
      </w:r>
      <w:r w:rsidRPr="00D536DA">
        <w:t>rin</w:t>
      </w:r>
      <w:r>
        <w:t>i</w:t>
      </w:r>
      <w:r w:rsidRPr="00D536DA">
        <w:t xml:space="preserve"> tamamlayan akademik faaliyetlere ket vurması bakımından sıkıntı doğurabilecek </w:t>
      </w:r>
      <w:r>
        <w:t xml:space="preserve">olması, bir akademik faaliyetin başvuru sahibinin kendi alanında olup olmadığının tespitinde güçlükler yaşanacak olması ve </w:t>
      </w:r>
      <w:r w:rsidRPr="00D536DA">
        <w:t>gereksiz kırtasiyeciliğ</w:t>
      </w:r>
      <w:r>
        <w:t>e yol açması nedeniyle iptali gerekmekted</w:t>
      </w:r>
      <w:r w:rsidRPr="00D536DA">
        <w:t>ir.</w:t>
      </w:r>
    </w:p>
    <w:p w:rsidR="00A50450" w:rsidRDefault="00D536DA" w:rsidP="00D10606">
      <w:pPr>
        <w:pStyle w:val="NormalWeb"/>
        <w:spacing w:after="0"/>
        <w:ind w:firstLine="708"/>
        <w:jc w:val="both"/>
      </w:pPr>
      <w:r w:rsidRPr="00D536DA">
        <w:t>4)- “Akademik teşvik faaliyet alanlarının değerlendirilmesi” başlıklı 7. Maddesinin 2. Fıkrasın</w:t>
      </w:r>
      <w:r>
        <w:t>da; “</w:t>
      </w:r>
      <w:r w:rsidRPr="00D536DA">
        <w:rPr>
          <w:b/>
        </w:rPr>
        <w:t xml:space="preserve">Proje faaliyetinin değerlendirilmesinde </w:t>
      </w:r>
      <w:r w:rsidRPr="00D536DA">
        <w:rPr>
          <w:b/>
          <w:u w:val="single"/>
        </w:rPr>
        <w:t>sadece bilim, teknoloji ve sanata katkı sağlayıcı nitelikte</w:t>
      </w:r>
      <w:r w:rsidRPr="00D536DA">
        <w:rPr>
          <w:b/>
        </w:rPr>
        <w:t xml:space="preserve"> yurtiçinde veya yurtdışında başarı ile sonuçlandırılmış ve sonuç raporu onaylanmış projeler değerlendirmeye alınır.</w:t>
      </w:r>
      <w:r>
        <w:t>” denilmiştir.</w:t>
      </w:r>
      <w:r w:rsidR="00441EDC">
        <w:t xml:space="preserve"> Madde hükmümde </w:t>
      </w:r>
      <w:r w:rsidRPr="00D536DA">
        <w:t>yer alan “</w:t>
      </w:r>
      <w:proofErr w:type="gramStart"/>
      <w:r w:rsidRPr="00D536DA">
        <w:t>..</w:t>
      </w:r>
      <w:proofErr w:type="gramEnd"/>
      <w:r w:rsidRPr="00D536DA">
        <w:t>sadece bilim, teknoloji ve sanata katkı sağlayıcı nitelikte..” ibaresinin</w:t>
      </w:r>
      <w:r w:rsidR="00441EDC">
        <w:t xml:space="preserve"> iptali gerekmektedir. </w:t>
      </w:r>
    </w:p>
    <w:p w:rsidR="00441EDC" w:rsidRDefault="00441EDC" w:rsidP="00D10606">
      <w:pPr>
        <w:pStyle w:val="NormalWeb"/>
        <w:spacing w:after="0"/>
        <w:ind w:firstLine="708"/>
        <w:jc w:val="both"/>
      </w:pPr>
      <w:r w:rsidRPr="00441EDC">
        <w:t xml:space="preserve">Projelerin </w:t>
      </w:r>
      <w:r>
        <w:t xml:space="preserve">faaliyetlerinin sadece bilim, teknoloji ve sanata katkı sağlayıcı nitelikte olmakla </w:t>
      </w:r>
      <w:r w:rsidRPr="00441EDC">
        <w:t>sınırlandırılması</w:t>
      </w:r>
      <w:r>
        <w:t>,</w:t>
      </w:r>
      <w:r w:rsidRPr="00441EDC">
        <w:t xml:space="preserve"> üretkenliği sınırla</w:t>
      </w:r>
      <w:r>
        <w:t>ndır</w:t>
      </w:r>
      <w:r w:rsidRPr="00441EDC">
        <w:t xml:space="preserve">maktadır. Bu açıdan </w:t>
      </w:r>
      <w:r>
        <w:t>p</w:t>
      </w:r>
      <w:r w:rsidRPr="00441EDC">
        <w:t>roje faaliyetlerinin kapsamının geniş tutulması</w:t>
      </w:r>
      <w:r>
        <w:t>,</w:t>
      </w:r>
      <w:r w:rsidRPr="00441EDC">
        <w:t xml:space="preserve"> proje çalışmalarının daha etkili ve kapsamlı olarak değerlendirmeye açık olması ülkemiz milli menfaatleri açısından önem arz etmektedir.</w:t>
      </w:r>
      <w:r>
        <w:t xml:space="preserve"> Bu nedenle dava konusu düzenlemenin iptali gerekmektedir. </w:t>
      </w:r>
    </w:p>
    <w:p w:rsidR="00441EDC" w:rsidRDefault="00441EDC" w:rsidP="00D10606">
      <w:pPr>
        <w:pStyle w:val="NormalWeb"/>
        <w:spacing w:after="0"/>
        <w:ind w:firstLine="708"/>
        <w:jc w:val="both"/>
      </w:pPr>
      <w:r w:rsidRPr="00441EDC">
        <w:t>5)- “Akademik teşvik ödeneğinin hesaplanması” başlıklı 8. Maddesinde, faaliyet puanı hesaplanırken, alt faaliyet oranlarının, akademik kadro unvanlarına göre farklı katsayılarla çarpılmasına yer verilmemesine ilişkin eksik düzenlemenin</w:t>
      </w:r>
      <w:r w:rsidR="00DB45FB">
        <w:t xml:space="preserve"> iptali hakkaniyet gereğidir. Şöyle ki</w:t>
      </w:r>
      <w:r w:rsidRPr="00441EDC">
        <w:t>;</w:t>
      </w:r>
    </w:p>
    <w:p w:rsidR="00662D28" w:rsidRDefault="00DB45FB" w:rsidP="00D10606">
      <w:pPr>
        <w:pStyle w:val="NormalWeb"/>
        <w:spacing w:after="0"/>
        <w:ind w:firstLine="708"/>
        <w:jc w:val="both"/>
      </w:pPr>
      <w:proofErr w:type="gramStart"/>
      <w:r w:rsidRPr="00DB45FB">
        <w:t xml:space="preserve">31 Aralık 2016 tarihli ve 3. Mükerrer 29935 Sayılı Resmî </w:t>
      </w:r>
      <w:proofErr w:type="spellStart"/>
      <w:r w:rsidRPr="00DB45FB">
        <w:t>Gazete’de</w:t>
      </w:r>
      <w:proofErr w:type="spellEnd"/>
      <w:r w:rsidRPr="00DB45FB">
        <w:t xml:space="preserve"> yayımlanan </w:t>
      </w:r>
      <w:r>
        <w:t>Mülga</w:t>
      </w:r>
      <w:r w:rsidRPr="00DB45FB">
        <w:t xml:space="preserve"> Akademik Teşvik Ödeneği Yönetmeliği</w:t>
      </w:r>
      <w:r>
        <w:t>nin “</w:t>
      </w:r>
      <w:r w:rsidRPr="00DB45FB">
        <w:t>Akademik teşvik ödeneğinin hesaplanması” başlıklı 8. Maddesin</w:t>
      </w:r>
      <w:r>
        <w:t xml:space="preserve">in 8. Fıkrası; “Faaliyet puanı hesaplanırken, alt faaliyet oranları profesör ve doçent kadrosunda bulunanlar için 1; yardımcı doçent kadrosunda bulunanlar için 1,5; araştırma görevlisi, öğretim görevlisi ve okutman kadrolarında bulunanlar için 2; uzman, çevirici ve eğitim-öğretim planlamacısı kadrolarında bulunanlar için 1 ile çarpılır.” hükmünü içermekteydi. </w:t>
      </w:r>
      <w:proofErr w:type="gramEnd"/>
    </w:p>
    <w:p w:rsidR="00DB45FB" w:rsidRDefault="00DB45FB" w:rsidP="00D10606">
      <w:pPr>
        <w:pStyle w:val="NormalWeb"/>
        <w:spacing w:after="0"/>
        <w:ind w:firstLine="708"/>
        <w:jc w:val="both"/>
      </w:pPr>
      <w:r>
        <w:t xml:space="preserve">Bu şekilde, </w:t>
      </w:r>
      <w:r w:rsidR="00167BFF">
        <w:t>a</w:t>
      </w:r>
      <w:r w:rsidR="00167BFF" w:rsidRPr="00167BFF">
        <w:t>kademik teşvik ödeneğinin hesaplanması</w:t>
      </w:r>
      <w:r w:rsidR="00167BFF">
        <w:t>nda,</w:t>
      </w:r>
      <w:r w:rsidR="00167BFF" w:rsidRPr="00167BFF">
        <w:t xml:space="preserve"> </w:t>
      </w:r>
      <w:r>
        <w:t xml:space="preserve">maaş ve özlük haklar bakımından daha kısıtlı </w:t>
      </w:r>
      <w:proofErr w:type="gramStart"/>
      <w:r>
        <w:t>imkanlara</w:t>
      </w:r>
      <w:proofErr w:type="gramEnd"/>
      <w:r>
        <w:t xml:space="preserve"> sahip olan unvanlar</w:t>
      </w:r>
      <w:r w:rsidR="00167BFF">
        <w:t>a getirilen pozitif ayrımcılıkla</w:t>
      </w:r>
      <w:r>
        <w:t xml:space="preserve"> bilimsel çalışma yapmaları teşvik edilmekteydi.</w:t>
      </w:r>
      <w:r w:rsidR="00167BFF">
        <w:t xml:space="preserve"> </w:t>
      </w:r>
      <w:r>
        <w:t xml:space="preserve">Ancak dava konusu yönetmeliğin </w:t>
      </w:r>
      <w:r w:rsidRPr="00DB45FB">
        <w:t>“Akademik teşvik ödeneğinin hesaplanması” başlıklı 8. Maddesinde</w:t>
      </w:r>
      <w:r>
        <w:t xml:space="preserve"> bu düzenlemeye yer verilmemiştir. </w:t>
      </w:r>
    </w:p>
    <w:p w:rsidR="00662D28" w:rsidRDefault="00441EDC" w:rsidP="00D10606">
      <w:pPr>
        <w:pStyle w:val="NormalWeb"/>
        <w:spacing w:after="0"/>
        <w:ind w:firstLine="708"/>
        <w:jc w:val="both"/>
      </w:pPr>
      <w:r>
        <w:t xml:space="preserve"> </w:t>
      </w:r>
      <w:r w:rsidR="00DB45FB">
        <w:t xml:space="preserve">Bilindiği üzere, </w:t>
      </w:r>
      <w:r w:rsidR="00DF63A7" w:rsidRPr="00DF63A7">
        <w:t>araştırma görevlisi, öğretim görevlisi</w:t>
      </w:r>
      <w:r w:rsidR="00DF63A7">
        <w:t xml:space="preserve"> gibi kadrolarda görev yapmakta olan akademisyenler, </w:t>
      </w:r>
      <w:r w:rsidR="00167BFF">
        <w:t xml:space="preserve">maaş ve sosyal haklar bakımından </w:t>
      </w:r>
      <w:r w:rsidR="00DF63A7">
        <w:t xml:space="preserve">daha kısıtlı </w:t>
      </w:r>
      <w:proofErr w:type="gramStart"/>
      <w:r w:rsidR="00DF63A7">
        <w:t>imkanlara</w:t>
      </w:r>
      <w:proofErr w:type="gramEnd"/>
      <w:r w:rsidR="00DF63A7">
        <w:t xml:space="preserve"> sahiptir. </w:t>
      </w:r>
      <w:r w:rsidR="00662D28">
        <w:t>M</w:t>
      </w:r>
      <w:r w:rsidR="00DF63A7">
        <w:t xml:space="preserve">ülga </w:t>
      </w:r>
      <w:r w:rsidR="00DF63A7">
        <w:lastRenderedPageBreak/>
        <w:t>yönetmelikte</w:t>
      </w:r>
      <w:r w:rsidR="00662D28">
        <w:t>,</w:t>
      </w:r>
      <w:r w:rsidR="00DF63A7">
        <w:t xml:space="preserve"> bu kadrolarda görev yapmakta olanların bilim, teknoloji </w:t>
      </w:r>
      <w:r w:rsidR="00662D28">
        <w:t>ve sanata katkı sağlayıcı</w:t>
      </w:r>
      <w:r w:rsidR="00DF63A7">
        <w:t xml:space="preserve"> faaliyetlerde bulunmalarının teşvik edilmesi amacıyla faaliyet puanlarının hesabında</w:t>
      </w:r>
      <w:r w:rsidR="00662D28">
        <w:t xml:space="preserve"> belirli katsayılar belirlenerek pozitif ayrımcılık yapılmıştı</w:t>
      </w:r>
      <w:r w:rsidR="00DF63A7">
        <w:t xml:space="preserve">. </w:t>
      </w:r>
    </w:p>
    <w:p w:rsidR="00441EDC" w:rsidRDefault="00662D28" w:rsidP="00D10606">
      <w:pPr>
        <w:pStyle w:val="NormalWeb"/>
        <w:spacing w:after="0"/>
        <w:ind w:firstLine="708"/>
        <w:jc w:val="both"/>
      </w:pPr>
      <w:r>
        <w:t>Ancak, d</w:t>
      </w:r>
      <w:r w:rsidR="00DB45FB" w:rsidRPr="00DB45FB">
        <w:t xml:space="preserve">aha önceden </w:t>
      </w:r>
      <w:r>
        <w:t xml:space="preserve">akademik teşvik ödeneği </w:t>
      </w:r>
      <w:r w:rsidR="00DB45FB" w:rsidRPr="00DB45FB">
        <w:t xml:space="preserve">oranını dengelediği düşünülen; </w:t>
      </w:r>
      <w:r w:rsidRPr="00662D28">
        <w:t xml:space="preserve">araştırma görevlisi, öğretim görevlisi ve okutman kadrolarında bulunanlar için </w:t>
      </w:r>
      <w:r w:rsidR="00DB45FB" w:rsidRPr="00DB45FB">
        <w:t>puanın 2 ile çarpılması, doktor öğretim görevlisi kadrolarında 1,5 ile çarpılması uygulaması bu yönetmelikte kaldırılmıştır. Bu durum; akademik olarak yapması gereken pek çok çalışma ile birlikte bölümlerin yükünü çeken, bölümün ve bölüm öğrencilerinin danışmanlık, program ve idari işler gibi vazifelerini omuzlayan akademisyenlere yönelik pozitif ayrımcılı</w:t>
      </w:r>
      <w:r>
        <w:t xml:space="preserve">ğın ortadan kalkmasına yol açmakta olup, </w:t>
      </w:r>
      <w:r w:rsidRPr="00662D28">
        <w:t>bilim, teknoloji ve sanata katkı sağlayıcı faaliyetlerde bulunmaların</w:t>
      </w:r>
      <w:r>
        <w:t>ı engellemektedir.</w:t>
      </w:r>
    </w:p>
    <w:p w:rsidR="00756CC2" w:rsidRDefault="00756CC2" w:rsidP="00D10606">
      <w:pPr>
        <w:pStyle w:val="NormalWeb"/>
        <w:spacing w:after="0"/>
        <w:ind w:firstLine="708"/>
        <w:jc w:val="both"/>
      </w:pPr>
      <w:r>
        <w:t>Bu bağlamda, dava konusu yönetmeliğin “A</w:t>
      </w:r>
      <w:r w:rsidRPr="00756CC2">
        <w:t>kademik teşvik ödeneğinin hesaplanması</w:t>
      </w:r>
      <w:r>
        <w:t xml:space="preserve">” başlıklı 8. Maddesinde, daha önceki yönetmelikte olduğu gibi </w:t>
      </w:r>
      <w:r w:rsidRPr="00756CC2">
        <w:t>faaliyet puanı hesaplanırken, alt faaliyet oranlarının, akademik kadro unvanlarına göre farklı katsayılarla çarpılması</w:t>
      </w:r>
      <w:r>
        <w:t xml:space="preserve"> suretiyle akademik teşvik ödeneğinde dengenin sağlanması gerekmekte olup, dava konusu eksik düzenlemenin iptali hakkaniyet gereğidir. </w:t>
      </w:r>
    </w:p>
    <w:p w:rsidR="008548C6" w:rsidRDefault="008548C6" w:rsidP="00D10606">
      <w:pPr>
        <w:pStyle w:val="NormalWeb"/>
        <w:spacing w:after="0"/>
        <w:ind w:firstLine="708"/>
        <w:jc w:val="both"/>
      </w:pPr>
      <w:proofErr w:type="gramStart"/>
      <w:r w:rsidRPr="008548C6">
        <w:t>6)-</w:t>
      </w:r>
      <w:r>
        <w:t xml:space="preserve">Dava konusu </w:t>
      </w:r>
      <w:r w:rsidRPr="008548C6">
        <w:t>Yönetmeliğin ekinde yer alan “</w:t>
      </w:r>
      <w:r w:rsidRPr="00C766B3">
        <w:rPr>
          <w:b/>
        </w:rPr>
        <w:t>Faaliyet Hesaplama Tablosu (Tablo 4)”</w:t>
      </w:r>
      <w:proofErr w:type="spellStart"/>
      <w:r w:rsidRPr="00C766B3">
        <w:rPr>
          <w:b/>
        </w:rPr>
        <w:t>nun</w:t>
      </w:r>
      <w:proofErr w:type="spellEnd"/>
      <w:r w:rsidRPr="00C766B3">
        <w:rPr>
          <w:b/>
        </w:rPr>
        <w:t xml:space="preserve"> “SERGİ” bölümünde,</w:t>
      </w:r>
      <w:r w:rsidRPr="008548C6">
        <w:t xml:space="preserve"> </w:t>
      </w:r>
      <w:r w:rsidR="00D270A5" w:rsidRPr="00D270A5">
        <w:t xml:space="preserve">A4 (Güzel Sanatlar) Alanı için </w:t>
      </w:r>
      <w:r w:rsidR="00D270A5">
        <w:t xml:space="preserve">puan öngörülmüş iken; </w:t>
      </w:r>
      <w:r w:rsidRPr="00C766B3">
        <w:rPr>
          <w:b/>
        </w:rPr>
        <w:t>Al (Eğitim Bilimleri, Fen Bilimleri ve Matematik, Mühendislik, Sağlık Bilimleri, Ziraat, Orman ve Su Ürünleri),  A2 (Filoloji, Hukuk, İlahiyat, Sosyal, Beşeri ve İdari Bilimler, Spor Bilimleri) ve A3 (Mimarlık, Planlama ve Tasarım) Alanlarına puan verilmem</w:t>
      </w:r>
      <w:r w:rsidR="00C766B3" w:rsidRPr="00C766B3">
        <w:rPr>
          <w:b/>
        </w:rPr>
        <w:t>iştir</w:t>
      </w:r>
      <w:r w:rsidR="00C766B3">
        <w:t xml:space="preserve">. </w:t>
      </w:r>
      <w:proofErr w:type="gramEnd"/>
      <w:r w:rsidR="00C766B3">
        <w:t xml:space="preserve">Bahsi geçen </w:t>
      </w:r>
      <w:r w:rsidRPr="008548C6">
        <w:t>eksik düzenlemenin</w:t>
      </w:r>
      <w:r>
        <w:t xml:space="preserve"> iptali hakkaniyet gereğidir. Şöyle ki</w:t>
      </w:r>
      <w:r w:rsidRPr="008548C6">
        <w:t>;</w:t>
      </w:r>
    </w:p>
    <w:p w:rsidR="008548C6" w:rsidRDefault="008548C6" w:rsidP="00D10606">
      <w:pPr>
        <w:pStyle w:val="NormalWeb"/>
        <w:spacing w:after="0"/>
        <w:ind w:firstLine="708"/>
        <w:jc w:val="both"/>
      </w:pPr>
      <w:r>
        <w:t>Yönetmeliğin “</w:t>
      </w:r>
      <w:r w:rsidRPr="008548C6">
        <w:t>Akademik teşvik faaliyet alanlarının değerlendirilmesi</w:t>
      </w:r>
      <w:r>
        <w:t>” başlıklı 7. Maddesinin 6. Fıkrası; “</w:t>
      </w:r>
      <w:r w:rsidRPr="00C766B3">
        <w:rPr>
          <w:i/>
        </w:rPr>
        <w:t xml:space="preserve">Sergi faaliyetinin değerlendirilmesinde sanata katkı sağlayıcı nitelikte olanlar dikkate alınır. Serginin uluslararası olarak değerlendirilmesi için serginin uluslararası olduğunun bölüm, anabilim dalı veya </w:t>
      </w:r>
      <w:proofErr w:type="spellStart"/>
      <w:r w:rsidRPr="00C766B3">
        <w:rPr>
          <w:i/>
        </w:rPr>
        <w:t>anasanat</w:t>
      </w:r>
      <w:proofErr w:type="spellEnd"/>
      <w:r w:rsidRPr="00C766B3">
        <w:rPr>
          <w:i/>
        </w:rPr>
        <w:t xml:space="preserve"> dalı kurullarınca onaylanmış olması gerekir. Tekrarlayan faaliyetler için en çok iki etkinlik dikkate alınır ve ikinci tekrar etkinliğe öncekinin puanının yansı verilir. Sergi kapsamındaki etkinliklerin değerlendirilmesinde, eğitim-öğretim faaliyetleri ve öğrenci kulüp faaliyetleri kapsamındaki sergiler dikkate alınmaz</w:t>
      </w:r>
      <w:proofErr w:type="gramStart"/>
      <w:r w:rsidRPr="00C766B3">
        <w:rPr>
          <w:i/>
        </w:rPr>
        <w:t>,..</w:t>
      </w:r>
      <w:proofErr w:type="gramEnd"/>
      <w:r w:rsidRPr="00C766B3">
        <w:rPr>
          <w:i/>
        </w:rPr>
        <w:t>”</w:t>
      </w:r>
      <w:r>
        <w:t xml:space="preserve"> şeklinde düzenlenmiştir. </w:t>
      </w:r>
    </w:p>
    <w:p w:rsidR="008548C6" w:rsidRDefault="008548C6" w:rsidP="008548C6">
      <w:pPr>
        <w:pStyle w:val="NormalWeb"/>
        <w:spacing w:after="0"/>
        <w:ind w:firstLine="708"/>
        <w:jc w:val="both"/>
      </w:pPr>
      <w:r w:rsidRPr="008548C6">
        <w:t>Yönetmeliğin ekinde yer alan “Faaliyet Hesaplama Tablosu (Tablo 4)”</w:t>
      </w:r>
      <w:proofErr w:type="spellStart"/>
      <w:r w:rsidRPr="008548C6">
        <w:t>n</w:t>
      </w:r>
      <w:r>
        <w:t>da</w:t>
      </w:r>
      <w:proofErr w:type="spellEnd"/>
      <w:r w:rsidR="00C766B3">
        <w:t xml:space="preserve"> ise</w:t>
      </w:r>
      <w:r>
        <w:t xml:space="preserve">, </w:t>
      </w:r>
      <w:r w:rsidRPr="008548C6">
        <w:t xml:space="preserve">hangi faaliyetlerden hangi alanların </w:t>
      </w:r>
      <w:r w:rsidR="00D270A5">
        <w:t xml:space="preserve">puan </w:t>
      </w:r>
      <w:r>
        <w:t>alacağı</w:t>
      </w:r>
      <w:r w:rsidRPr="008548C6">
        <w:t xml:space="preserve"> belirtilmektedir. Bu tablonun </w:t>
      </w:r>
      <w:r>
        <w:t>“</w:t>
      </w:r>
      <w:r w:rsidRPr="008548C6">
        <w:t>SERGİ</w:t>
      </w:r>
      <w:r>
        <w:t>”</w:t>
      </w:r>
      <w:r w:rsidRPr="008548C6">
        <w:t xml:space="preserve"> bölümünde</w:t>
      </w:r>
      <w:r>
        <w:t>,</w:t>
      </w:r>
      <w:r w:rsidRPr="008548C6">
        <w:t xml:space="preserve"> </w:t>
      </w:r>
      <w:r w:rsidRPr="00C766B3">
        <w:rPr>
          <w:b/>
        </w:rPr>
        <w:t>Özgün yurtdışı bireysel etkinlik</w:t>
      </w:r>
      <w:r>
        <w:t xml:space="preserve"> (sergi, </w:t>
      </w:r>
      <w:proofErr w:type="gramStart"/>
      <w:r>
        <w:t>bienal</w:t>
      </w:r>
      <w:proofErr w:type="gramEnd"/>
      <w:r>
        <w:t xml:space="preserve">, </w:t>
      </w:r>
      <w:proofErr w:type="spellStart"/>
      <w:r>
        <w:t>trienal</w:t>
      </w:r>
      <w:proofErr w:type="spellEnd"/>
      <w:r>
        <w:t>, gösteri, dinleti, festival</w:t>
      </w:r>
      <w:r>
        <w:t xml:space="preserve"> </w:t>
      </w:r>
      <w:r>
        <w:t>ve gösterim)</w:t>
      </w:r>
      <w:r>
        <w:t>,</w:t>
      </w:r>
      <w:r w:rsidRPr="008548C6">
        <w:t xml:space="preserve"> </w:t>
      </w:r>
      <w:r w:rsidRPr="00C766B3">
        <w:rPr>
          <w:b/>
        </w:rPr>
        <w:t>Özgün yurtiçi bireysel etkinlik</w:t>
      </w:r>
      <w:r w:rsidRPr="008548C6">
        <w:t xml:space="preserve"> (sergi, bienal, </w:t>
      </w:r>
      <w:proofErr w:type="spellStart"/>
      <w:r w:rsidRPr="008548C6">
        <w:t>trienal</w:t>
      </w:r>
      <w:proofErr w:type="spellEnd"/>
      <w:r w:rsidRPr="008548C6">
        <w:t>, gösteri, dinleti, festival ve gösterim)</w:t>
      </w:r>
      <w:r>
        <w:t>,</w:t>
      </w:r>
      <w:r w:rsidRPr="008548C6">
        <w:t xml:space="preserve"> </w:t>
      </w:r>
      <w:r w:rsidRPr="00C766B3">
        <w:rPr>
          <w:b/>
        </w:rPr>
        <w:t>Özgün yurtdışı grup/karma/toplu etkinlik</w:t>
      </w:r>
      <w:r w:rsidRPr="008548C6">
        <w:t xml:space="preserve"> (sergi, bienal, </w:t>
      </w:r>
      <w:proofErr w:type="spellStart"/>
      <w:r w:rsidRPr="008548C6">
        <w:t>trienal</w:t>
      </w:r>
      <w:proofErr w:type="spellEnd"/>
      <w:r w:rsidRPr="008548C6">
        <w:t>, gösteri, dinleti, festival ve gösterim)</w:t>
      </w:r>
      <w:r>
        <w:t xml:space="preserve"> ve</w:t>
      </w:r>
      <w:r w:rsidRPr="008548C6">
        <w:t xml:space="preserve"> </w:t>
      </w:r>
      <w:r w:rsidRPr="00C766B3">
        <w:rPr>
          <w:b/>
        </w:rPr>
        <w:t>Özgün yurtiçi grup/karma/toplu etkinlik</w:t>
      </w:r>
      <w:r w:rsidRPr="008548C6">
        <w:t xml:space="preserve"> (sergi, bienal, </w:t>
      </w:r>
      <w:proofErr w:type="spellStart"/>
      <w:r w:rsidRPr="008548C6">
        <w:t>trienal</w:t>
      </w:r>
      <w:proofErr w:type="spellEnd"/>
      <w:r w:rsidRPr="008548C6">
        <w:t>, gösteri, dinleti, festival ve gösterim)</w:t>
      </w:r>
      <w:r>
        <w:t xml:space="preserve"> faaliyetleri için puanlar öngörülmüştür. Ancak, bu puanlar sadece </w:t>
      </w:r>
      <w:r w:rsidRPr="008548C6">
        <w:t xml:space="preserve">A4 </w:t>
      </w:r>
      <w:r>
        <w:t>(</w:t>
      </w:r>
      <w:r w:rsidRPr="008548C6">
        <w:t>Güzel Sanatlar</w:t>
      </w:r>
      <w:r>
        <w:t xml:space="preserve">) </w:t>
      </w:r>
      <w:r w:rsidRPr="008548C6">
        <w:t>Alanı</w:t>
      </w:r>
      <w:r>
        <w:t xml:space="preserve"> için belirlenmiş olup, </w:t>
      </w:r>
      <w:r w:rsidR="00D270A5" w:rsidRPr="00D270A5">
        <w:t>Al (Eğitim Bilimleri, Fen Bilimleri ve Matematik, Mühendislik, Sağlık Bilimleri, Ziraat, Orman ve Su Ürünleri),  A2 (Filoloji, Hukuk, İlahiyat, Sosyal, Beşeri ve İdari Bilimler, Spor Bilimleri) ve A3 (Mimarlık, Planlama ve Tasarım)</w:t>
      </w:r>
      <w:r w:rsidR="00D270A5">
        <w:t xml:space="preserve"> alanları için puan öngörülmemiştir.</w:t>
      </w:r>
    </w:p>
    <w:p w:rsidR="00D270A5" w:rsidRDefault="008548C6" w:rsidP="00865FE6">
      <w:pPr>
        <w:pStyle w:val="NormalWeb"/>
        <w:spacing w:after="0"/>
        <w:ind w:firstLine="708"/>
        <w:jc w:val="both"/>
      </w:pPr>
      <w:r w:rsidRPr="008548C6">
        <w:t xml:space="preserve"> </w:t>
      </w:r>
      <w:r w:rsidR="00C766B3">
        <w:t>Ancak, örneğin;</w:t>
      </w:r>
      <w:r w:rsidR="00D270A5">
        <w:t xml:space="preserve"> </w:t>
      </w:r>
      <w:r w:rsidRPr="008548C6">
        <w:t>sanatsal tasarım ve eser hüviyeti taşıyan eserleri üreten ve çeşitli yarış</w:t>
      </w:r>
      <w:r w:rsidR="00D270A5">
        <w:t>lar</w:t>
      </w:r>
      <w:r w:rsidRPr="008548C6">
        <w:t>a ve yarışmalı sergilere katılan mimari ve tasarım alanları</w:t>
      </w:r>
      <w:r w:rsidR="00D270A5">
        <w:t>nın</w:t>
      </w:r>
      <w:r w:rsidRPr="008548C6">
        <w:t xml:space="preserve"> göz ardı edilm</w:t>
      </w:r>
      <w:r w:rsidR="00D270A5">
        <w:t>esi hakkaniyete aykırıdır.</w:t>
      </w:r>
      <w:r w:rsidRPr="008548C6">
        <w:t xml:space="preserve"> İlgili maddede öngörülen şartları karşılayan sergilerin bütün bilim </w:t>
      </w:r>
      <w:r w:rsidRPr="008548C6">
        <w:lastRenderedPageBreak/>
        <w:t>alanlarında bir ka</w:t>
      </w:r>
      <w:r w:rsidR="00D270A5">
        <w:t>r</w:t>
      </w:r>
      <w:r w:rsidRPr="008548C6">
        <w:t>ş</w:t>
      </w:r>
      <w:r w:rsidR="00D270A5">
        <w:t>ı</w:t>
      </w:r>
      <w:r w:rsidRPr="008548C6">
        <w:t>lığının bulunması gerekmektedir. Üretimi ve özgün yaratımı destekle</w:t>
      </w:r>
      <w:r w:rsidR="00D270A5">
        <w:t>mek açısından</w:t>
      </w:r>
      <w:r w:rsidR="00382409">
        <w:t>;</w:t>
      </w:r>
      <w:r w:rsidR="00D270A5">
        <w:t xml:space="preserve"> </w:t>
      </w:r>
      <w:r w:rsidR="00382409" w:rsidRPr="00382409">
        <w:t>Al (Eğitim Bilimleri, Fen Bilimleri ve Matematik, Mühendislik, Sağlık Bilimleri, Ziraat, Orman ve Su Ürünleri),  A2 (Filoloji, Hukuk, İlahiyat, Sosyal, Beşeri ve İdari Bilimler, Spor Bilimleri) ve A3 (Mimarlık, Planlama ve Tasarım) alanları</w:t>
      </w:r>
      <w:r w:rsidR="00382409">
        <w:t xml:space="preserve">nın da puanlamaya tabi tutulması gerekmektedir. Bu bağlamda, </w:t>
      </w:r>
      <w:r w:rsidR="00382409" w:rsidRPr="00382409">
        <w:t xml:space="preserve"> </w:t>
      </w:r>
      <w:r w:rsidR="00D270A5">
        <w:t>dava konusu eksik düzenleme</w:t>
      </w:r>
      <w:r w:rsidR="00382409">
        <w:t xml:space="preserve"> hukuka aykırı olup, </w:t>
      </w:r>
      <w:r w:rsidR="00D270A5">
        <w:t xml:space="preserve"> iptali hakkaniyet gereğidir. </w:t>
      </w:r>
    </w:p>
    <w:p w:rsidR="00865FE6" w:rsidRDefault="009D7FD7" w:rsidP="00865FE6">
      <w:pPr>
        <w:pStyle w:val="NormalWeb"/>
        <w:spacing w:after="0"/>
        <w:ind w:firstLine="708"/>
        <w:jc w:val="both"/>
      </w:pPr>
      <w:r w:rsidRPr="009D7FD7">
        <w:t>2577 sayılı Yasanın 27. maddesinin 2 numaralı bendi</w:t>
      </w:r>
      <w:r w:rsidR="00756CC2">
        <w:t>nde;</w:t>
      </w:r>
      <w:r w:rsidRPr="009D7FD7">
        <w:t xml:space="preserve"> “</w:t>
      </w:r>
      <w:r w:rsidRPr="00756CC2">
        <w:rPr>
          <w:b/>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9D7FD7">
        <w:t xml:space="preserve"> denilmektedir. Dava konusu yönetmelik hükümleri yönünden şartlar oluştuğu için dava konusu hükümlerin </w:t>
      </w:r>
      <w:r w:rsidR="00756CC2" w:rsidRPr="009D7FD7">
        <w:t xml:space="preserve">öncelikle </w:t>
      </w:r>
      <w:r w:rsidRPr="009D7FD7">
        <w:t>yürütmesinin durdurulması gerekmektedir.</w:t>
      </w:r>
    </w:p>
    <w:p w:rsidR="000679E5" w:rsidRDefault="00160737" w:rsidP="00865FE6">
      <w:pPr>
        <w:pStyle w:val="NormalWeb"/>
        <w:spacing w:after="0"/>
        <w:ind w:firstLine="708"/>
        <w:jc w:val="both"/>
        <w:rPr>
          <w:rFonts w:eastAsia="ヒラギノ明朝 Pro W3"/>
        </w:rPr>
      </w:pPr>
      <w:r w:rsidRPr="00160737">
        <w:rPr>
          <w:rFonts w:eastAsia="ヒラギノ明朝 Pro W3"/>
        </w:rPr>
        <w:t xml:space="preserve">Yukarıda izah edilen sebeplerle, işbu davanın açılması zarureti </w:t>
      </w:r>
      <w:proofErr w:type="gramStart"/>
      <w:r w:rsidRPr="00160737">
        <w:rPr>
          <w:rFonts w:eastAsia="ヒラギノ明朝 Pro W3"/>
        </w:rPr>
        <w:t>hasıl</w:t>
      </w:r>
      <w:proofErr w:type="gramEnd"/>
      <w:r w:rsidRPr="00160737">
        <w:rPr>
          <w:rFonts w:eastAsia="ヒラギノ明朝 Pro W3"/>
        </w:rPr>
        <w:t xml:space="preserve"> olmuştur. Bu hususta nihai takdir hakkı Sayın </w:t>
      </w:r>
      <w:proofErr w:type="spellStart"/>
      <w:r w:rsidRPr="00160737">
        <w:rPr>
          <w:rFonts w:eastAsia="ヒラギノ明朝 Pro W3"/>
        </w:rPr>
        <w:t>Mahkemeniz’e</w:t>
      </w:r>
      <w:proofErr w:type="spellEnd"/>
      <w:r w:rsidRPr="00160737">
        <w:rPr>
          <w:rFonts w:eastAsia="ヒラギノ明朝 Pro W3"/>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r>
      <w:r w:rsidR="007C2D8B">
        <w:rPr>
          <w:rFonts w:ascii="Times New Roman" w:eastAsia="ヒラギノ明朝 Pro W3" w:hAnsi="Times New Roman" w:cs="Times New Roman"/>
          <w:b/>
          <w:sz w:val="24"/>
          <w:szCs w:val="24"/>
          <w:u w:val="single"/>
        </w:rPr>
        <w:t>:</w:t>
      </w:r>
      <w:r w:rsidR="00414CC4" w:rsidRPr="00414CC4">
        <w:t xml:space="preserve"> </w:t>
      </w:r>
      <w:r w:rsidR="00865FE6" w:rsidRPr="00865FE6">
        <w:rPr>
          <w:rFonts w:ascii="Times New Roman" w:eastAsia="ヒラギノ明朝 Pro W3" w:hAnsi="Times New Roman" w:cs="Times New Roman"/>
          <w:sz w:val="24"/>
          <w:szCs w:val="24"/>
        </w:rPr>
        <w:t xml:space="preserve">06.07.2018 tarih ve 30470 sayılı Resmi </w:t>
      </w:r>
      <w:proofErr w:type="spellStart"/>
      <w:r w:rsidR="00865FE6" w:rsidRPr="00865FE6">
        <w:rPr>
          <w:rFonts w:ascii="Times New Roman" w:eastAsia="ヒラギノ明朝 Pro W3" w:hAnsi="Times New Roman" w:cs="Times New Roman"/>
          <w:sz w:val="24"/>
          <w:szCs w:val="24"/>
        </w:rPr>
        <w:t>Gazete’de</w:t>
      </w:r>
      <w:proofErr w:type="spellEnd"/>
      <w:r w:rsidR="00865FE6" w:rsidRPr="00865FE6">
        <w:rPr>
          <w:rFonts w:ascii="Times New Roman" w:eastAsia="ヒラギノ明朝 Pro W3" w:hAnsi="Times New Roman" w:cs="Times New Roman"/>
          <w:sz w:val="24"/>
          <w:szCs w:val="24"/>
        </w:rPr>
        <w:t xml:space="preserve"> yayımlanan Milli Eğitim Bakanlığı Özel Program ve Proje Uygulayan Eğitim Kurumları Yönetmeliğinde Değişiklik Yapılmasına İlişkin Yönetmeli</w:t>
      </w:r>
      <w:r w:rsidR="00865FE6">
        <w:rPr>
          <w:rFonts w:ascii="Times New Roman" w:eastAsia="ヒラギノ明朝 Pro W3" w:hAnsi="Times New Roman" w:cs="Times New Roman"/>
          <w:sz w:val="24"/>
          <w:szCs w:val="24"/>
        </w:rPr>
        <w:t>k</w:t>
      </w:r>
      <w:r w:rsidR="00F53DFA">
        <w:rPr>
          <w:rFonts w:ascii="Times New Roman" w:eastAsia="ヒラギノ明朝 Pro W3" w:hAnsi="Times New Roman" w:cs="Times New Roman"/>
          <w:sz w:val="24"/>
          <w:szCs w:val="24"/>
        </w:rPr>
        <w:t xml:space="preserve">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7C2D8B" w:rsidRDefault="0059360F" w:rsidP="00846514">
      <w:pPr>
        <w:spacing w:after="0" w:line="240" w:lineRule="auto"/>
        <w:jc w:val="both"/>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r w:rsidR="007C2D8B" w:rsidRPr="007C2D8B">
        <w:t xml:space="preserve"> </w:t>
      </w:r>
    </w:p>
    <w:p w:rsidR="007C2D8B" w:rsidRDefault="007C2D8B" w:rsidP="00846514">
      <w:pPr>
        <w:spacing w:after="0" w:line="240" w:lineRule="auto"/>
        <w:jc w:val="both"/>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 xml:space="preserve">14.05.2018 tarih ve 2018/11834 sayılı Bakanlar Kurulu Kararı ile düzenlenerek, 27.06.2018 tarih ve 30461 sayılı Resmi </w:t>
      </w:r>
      <w:proofErr w:type="spellStart"/>
      <w:r w:rsidRPr="00756CC2">
        <w:rPr>
          <w:rFonts w:ascii="Times New Roman" w:hAnsi="Times New Roman" w:cs="Times New Roman"/>
          <w:sz w:val="24"/>
          <w:szCs w:val="24"/>
        </w:rPr>
        <w:t>Gazete’de</w:t>
      </w:r>
      <w:proofErr w:type="spellEnd"/>
      <w:r w:rsidRPr="00756CC2">
        <w:rPr>
          <w:rFonts w:ascii="Times New Roman" w:hAnsi="Times New Roman" w:cs="Times New Roman"/>
          <w:sz w:val="24"/>
          <w:szCs w:val="24"/>
        </w:rPr>
        <w:t xml:space="preserve"> yayımlanan “Akademik Teşvik Ödeneği </w:t>
      </w:r>
      <w:proofErr w:type="spellStart"/>
      <w:r w:rsidRPr="00756CC2">
        <w:rPr>
          <w:rFonts w:ascii="Times New Roman" w:hAnsi="Times New Roman" w:cs="Times New Roman"/>
          <w:sz w:val="24"/>
          <w:szCs w:val="24"/>
        </w:rPr>
        <w:t>Yönetmeliği”nin</w:t>
      </w:r>
      <w:proofErr w:type="spellEnd"/>
      <w:r w:rsidRPr="00756CC2">
        <w:rPr>
          <w:rFonts w:ascii="Times New Roman" w:hAnsi="Times New Roman" w:cs="Times New Roman"/>
          <w:sz w:val="24"/>
          <w:szCs w:val="24"/>
        </w:rPr>
        <w:t xml:space="preserve">; </w:t>
      </w:r>
    </w:p>
    <w:p w:rsidR="00756CC2" w:rsidRPr="00756CC2" w:rsidRDefault="00756CC2" w:rsidP="00756CC2">
      <w:pPr>
        <w:spacing w:after="0" w:line="240" w:lineRule="auto"/>
        <w:ind w:firstLine="708"/>
        <w:jc w:val="both"/>
        <w:rPr>
          <w:rFonts w:ascii="Times New Roman" w:hAnsi="Times New Roman" w:cs="Times New Roman"/>
          <w:sz w:val="24"/>
          <w:szCs w:val="24"/>
        </w:rPr>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1)- “Tanımlar ve Kısaltmalar” başlıklı 3. Maddesinin 1. Fıkrasının (k) bendinde yer alan “</w:t>
      </w:r>
      <w:proofErr w:type="gramStart"/>
      <w:r w:rsidRPr="00756CC2">
        <w:rPr>
          <w:rFonts w:ascii="Times New Roman" w:hAnsi="Times New Roman" w:cs="Times New Roman"/>
          <w:sz w:val="24"/>
          <w:szCs w:val="24"/>
        </w:rPr>
        <w:t>..</w:t>
      </w:r>
      <w:proofErr w:type="gramEnd"/>
      <w:r w:rsidRPr="00756CC2">
        <w:rPr>
          <w:rFonts w:ascii="Times New Roman" w:hAnsi="Times New Roman" w:cs="Times New Roman"/>
          <w:sz w:val="24"/>
          <w:szCs w:val="24"/>
        </w:rPr>
        <w:t>yükseköğretim kurumu senatosunun kararıyla alanında etkinliği ve saygınlığı kabul edilen..” ibaresinin;</w:t>
      </w:r>
    </w:p>
    <w:p w:rsidR="00756CC2" w:rsidRPr="00756CC2" w:rsidRDefault="00756CC2" w:rsidP="00756CC2">
      <w:pPr>
        <w:spacing w:after="0" w:line="240" w:lineRule="auto"/>
        <w:ind w:firstLine="708"/>
        <w:jc w:val="both"/>
        <w:rPr>
          <w:rFonts w:ascii="Times New Roman" w:hAnsi="Times New Roman" w:cs="Times New Roman"/>
          <w:sz w:val="24"/>
          <w:szCs w:val="24"/>
        </w:rPr>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2)- “Tanımlar ve Kısaltmalar” başlıklı 3. Maddesinin 1. Fıkrasının (l) bendinde yer alan “</w:t>
      </w:r>
      <w:proofErr w:type="gramStart"/>
      <w:r w:rsidRPr="00756CC2">
        <w:rPr>
          <w:rFonts w:ascii="Times New Roman" w:hAnsi="Times New Roman" w:cs="Times New Roman"/>
          <w:sz w:val="24"/>
          <w:szCs w:val="24"/>
        </w:rPr>
        <w:t>..</w:t>
      </w:r>
      <w:proofErr w:type="gramEnd"/>
      <w:r w:rsidRPr="00756CC2">
        <w:rPr>
          <w:rFonts w:ascii="Times New Roman" w:hAnsi="Times New Roman" w:cs="Times New Roman"/>
          <w:sz w:val="24"/>
          <w:szCs w:val="24"/>
        </w:rPr>
        <w:t>yükseköğretim kurumu senatosunun kararıyla alanında etkinliği ve saygınlığı kabul edilen..” ibaresinin;</w:t>
      </w:r>
    </w:p>
    <w:p w:rsidR="00756CC2" w:rsidRPr="00756CC2" w:rsidRDefault="00756CC2" w:rsidP="00756CC2">
      <w:pPr>
        <w:spacing w:after="0" w:line="240" w:lineRule="auto"/>
        <w:ind w:firstLine="708"/>
        <w:jc w:val="both"/>
        <w:rPr>
          <w:rFonts w:ascii="Times New Roman" w:hAnsi="Times New Roman" w:cs="Times New Roman"/>
          <w:sz w:val="24"/>
          <w:szCs w:val="24"/>
        </w:rPr>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 xml:space="preserve">3)- “Akademik teşvik faaliyet alanlarının değerlendirilmesi” başlıklı 7. Maddesinin 1. Fıkrasında yer alan “Başvuru sahiplerinin sadece kendi alanı ile ilgili yapmış olduğu faaliyetler akademik teşvik kapsamında değerlendirilir.” ibaresinin; </w:t>
      </w:r>
    </w:p>
    <w:p w:rsidR="00756CC2" w:rsidRPr="00756CC2" w:rsidRDefault="00756CC2" w:rsidP="00756CC2">
      <w:pPr>
        <w:spacing w:after="0" w:line="240" w:lineRule="auto"/>
        <w:ind w:firstLine="708"/>
        <w:jc w:val="both"/>
        <w:rPr>
          <w:rFonts w:ascii="Times New Roman" w:hAnsi="Times New Roman" w:cs="Times New Roman"/>
          <w:sz w:val="24"/>
          <w:szCs w:val="24"/>
        </w:rPr>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 xml:space="preserve">4)- “Akademik teşvik faaliyet alanlarının değerlendirilmesi” başlıklı 7. Maddesinin 2. Fıkrasının ilk cümlesinde yer alan </w:t>
      </w:r>
      <w:bookmarkStart w:id="0" w:name="_GoBack"/>
      <w:r w:rsidRPr="00DE0D4F">
        <w:rPr>
          <w:rFonts w:ascii="Times New Roman" w:hAnsi="Times New Roman" w:cs="Times New Roman"/>
          <w:i/>
          <w:sz w:val="24"/>
          <w:szCs w:val="24"/>
        </w:rPr>
        <w:t>“</w:t>
      </w:r>
      <w:proofErr w:type="gramStart"/>
      <w:r w:rsidRPr="00DE0D4F">
        <w:rPr>
          <w:rFonts w:ascii="Times New Roman" w:hAnsi="Times New Roman" w:cs="Times New Roman"/>
          <w:i/>
          <w:sz w:val="24"/>
          <w:szCs w:val="24"/>
        </w:rPr>
        <w:t>..</w:t>
      </w:r>
      <w:proofErr w:type="gramEnd"/>
      <w:r w:rsidRPr="00DE0D4F">
        <w:rPr>
          <w:rFonts w:ascii="Times New Roman" w:hAnsi="Times New Roman" w:cs="Times New Roman"/>
          <w:i/>
          <w:sz w:val="24"/>
          <w:szCs w:val="24"/>
        </w:rPr>
        <w:t>sadece bilim, teknoloji ve sanata katkı sağlayıcı nitelikte..”</w:t>
      </w:r>
      <w:bookmarkEnd w:id="0"/>
      <w:r w:rsidRPr="00756CC2">
        <w:rPr>
          <w:rFonts w:ascii="Times New Roman" w:hAnsi="Times New Roman" w:cs="Times New Roman"/>
          <w:sz w:val="24"/>
          <w:szCs w:val="24"/>
        </w:rPr>
        <w:t xml:space="preserve"> ibaresinin;</w:t>
      </w:r>
    </w:p>
    <w:p w:rsidR="00756CC2" w:rsidRPr="00756CC2" w:rsidRDefault="00756CC2" w:rsidP="00756CC2">
      <w:pPr>
        <w:spacing w:after="0" w:line="240" w:lineRule="auto"/>
        <w:ind w:firstLine="708"/>
        <w:jc w:val="both"/>
        <w:rPr>
          <w:rFonts w:ascii="Times New Roman" w:hAnsi="Times New Roman" w:cs="Times New Roman"/>
          <w:sz w:val="24"/>
          <w:szCs w:val="24"/>
        </w:rPr>
      </w:pPr>
    </w:p>
    <w:p w:rsidR="00756CC2" w:rsidRDefault="00756CC2" w:rsidP="00756CC2">
      <w:pPr>
        <w:spacing w:after="0" w:line="240" w:lineRule="auto"/>
        <w:ind w:firstLine="708"/>
        <w:jc w:val="both"/>
        <w:rPr>
          <w:rFonts w:ascii="Times New Roman" w:hAnsi="Times New Roman" w:cs="Times New Roman"/>
          <w:sz w:val="24"/>
          <w:szCs w:val="24"/>
        </w:rPr>
      </w:pPr>
      <w:r w:rsidRPr="00756CC2">
        <w:rPr>
          <w:rFonts w:ascii="Times New Roman" w:hAnsi="Times New Roman" w:cs="Times New Roman"/>
          <w:sz w:val="24"/>
          <w:szCs w:val="24"/>
        </w:rPr>
        <w:t>5)- “Akademik teşvik ödeneğinin hesaplanması” başlıklı 8. Maddesinde, faaliyet puanı hesaplanırken, alt faaliyet oranlarının, akademik kadro unvanlarına göre farklı katsayılarla çarpılmasına yer verilmemesine ilişkin eksik düzenlemenin;</w:t>
      </w:r>
    </w:p>
    <w:p w:rsidR="00756CC2" w:rsidRDefault="00756CC2" w:rsidP="00756CC2">
      <w:pPr>
        <w:spacing w:after="0" w:line="240" w:lineRule="auto"/>
        <w:ind w:firstLine="708"/>
        <w:jc w:val="both"/>
        <w:rPr>
          <w:rFonts w:ascii="Times New Roman" w:hAnsi="Times New Roman" w:cs="Times New Roman"/>
          <w:sz w:val="24"/>
          <w:szCs w:val="24"/>
        </w:rPr>
      </w:pPr>
    </w:p>
    <w:p w:rsidR="008548C6" w:rsidRDefault="008548C6" w:rsidP="00756CC2">
      <w:pPr>
        <w:spacing w:after="0" w:line="240" w:lineRule="auto"/>
        <w:ind w:firstLine="708"/>
        <w:jc w:val="both"/>
        <w:rPr>
          <w:rFonts w:ascii="Times New Roman" w:hAnsi="Times New Roman" w:cs="Times New Roman"/>
          <w:sz w:val="24"/>
          <w:szCs w:val="24"/>
        </w:rPr>
      </w:pPr>
      <w:proofErr w:type="gramStart"/>
      <w:r w:rsidRPr="008548C6">
        <w:rPr>
          <w:rFonts w:ascii="Times New Roman" w:hAnsi="Times New Roman" w:cs="Times New Roman"/>
          <w:sz w:val="24"/>
          <w:szCs w:val="24"/>
        </w:rPr>
        <w:t>6)-</w:t>
      </w:r>
      <w:r w:rsidR="00D65DCD">
        <w:rPr>
          <w:rFonts w:ascii="Times New Roman" w:hAnsi="Times New Roman" w:cs="Times New Roman"/>
          <w:sz w:val="24"/>
          <w:szCs w:val="24"/>
        </w:rPr>
        <w:t xml:space="preserve"> </w:t>
      </w:r>
      <w:r w:rsidRPr="008548C6">
        <w:rPr>
          <w:rFonts w:ascii="Times New Roman" w:hAnsi="Times New Roman" w:cs="Times New Roman"/>
          <w:sz w:val="24"/>
          <w:szCs w:val="24"/>
        </w:rPr>
        <w:t>Yönetmeliğin ekinde yer alan “Faaliyet Hesaplama Tablosu (Tablo 4)”</w:t>
      </w:r>
      <w:proofErr w:type="spellStart"/>
      <w:r w:rsidRPr="008548C6">
        <w:rPr>
          <w:rFonts w:ascii="Times New Roman" w:hAnsi="Times New Roman" w:cs="Times New Roman"/>
          <w:sz w:val="24"/>
          <w:szCs w:val="24"/>
        </w:rPr>
        <w:t>nun</w:t>
      </w:r>
      <w:proofErr w:type="spellEnd"/>
      <w:r w:rsidRPr="008548C6">
        <w:rPr>
          <w:rFonts w:ascii="Times New Roman" w:hAnsi="Times New Roman" w:cs="Times New Roman"/>
          <w:sz w:val="24"/>
          <w:szCs w:val="24"/>
        </w:rPr>
        <w:t xml:space="preserve"> “SERGİ” bölümünde, Al (Eğitim Bilimleri, Fen Bilimleri ve Matematik, Mühendislik, Sağlık Bilimleri, Ziraat, Orman ve Su Ürünleri),  A2 (Filoloji, Hukuk, İlahiyat, Sosyal, Beşeri ve İdari Bilimler, Spor Bilimleri) ve A3 (Mimarlık, Planlama ve Tasarım) Alanlarına puan verilmemesine ilişkin eksik düzenlemenin;</w:t>
      </w:r>
      <w:proofErr w:type="gramEnd"/>
    </w:p>
    <w:p w:rsidR="008548C6" w:rsidRPr="00756CC2" w:rsidRDefault="008548C6" w:rsidP="00756CC2">
      <w:pPr>
        <w:spacing w:after="0" w:line="240" w:lineRule="auto"/>
        <w:ind w:firstLine="708"/>
        <w:jc w:val="both"/>
        <w:rPr>
          <w:rFonts w:ascii="Times New Roman" w:hAnsi="Times New Roman" w:cs="Times New Roman"/>
          <w:sz w:val="24"/>
          <w:szCs w:val="24"/>
        </w:rPr>
      </w:pPr>
    </w:p>
    <w:p w:rsidR="00846514" w:rsidRDefault="00756CC2" w:rsidP="00756CC2">
      <w:pPr>
        <w:spacing w:after="0" w:line="240" w:lineRule="auto"/>
        <w:ind w:firstLine="708"/>
        <w:jc w:val="both"/>
        <w:rPr>
          <w:rFonts w:ascii="Times New Roman" w:hAnsi="Times New Roman" w:cs="Times New Roman"/>
          <w:sz w:val="24"/>
          <w:szCs w:val="24"/>
        </w:rPr>
      </w:pPr>
      <w:proofErr w:type="gramStart"/>
      <w:r w:rsidRPr="00756CC2">
        <w:rPr>
          <w:rFonts w:ascii="Times New Roman" w:hAnsi="Times New Roman" w:cs="Times New Roman"/>
          <w:sz w:val="24"/>
          <w:szCs w:val="24"/>
        </w:rPr>
        <w:t>öncelikle</w:t>
      </w:r>
      <w:proofErr w:type="gramEnd"/>
      <w:r w:rsidRPr="00756CC2">
        <w:rPr>
          <w:rFonts w:ascii="Times New Roman" w:hAnsi="Times New Roman" w:cs="Times New Roman"/>
          <w:sz w:val="24"/>
          <w:szCs w:val="24"/>
        </w:rPr>
        <w:t xml:space="preserve"> YÜRÜTMESİNİN DURDURULMASI ve devamında İPTALİ</w:t>
      </w:r>
      <w:r>
        <w:rPr>
          <w:rFonts w:ascii="Times New Roman" w:hAnsi="Times New Roman" w:cs="Times New Roman"/>
          <w:sz w:val="24"/>
          <w:szCs w:val="24"/>
        </w:rPr>
        <w:t>NE;</w:t>
      </w:r>
    </w:p>
    <w:p w:rsidR="007D7C27" w:rsidRPr="00846514" w:rsidRDefault="007D7C27" w:rsidP="00846514">
      <w:pPr>
        <w:spacing w:after="0" w:line="240" w:lineRule="auto"/>
        <w:jc w:val="both"/>
        <w:rPr>
          <w:rFonts w:ascii="Times New Roman" w:hAnsi="Times New Roman" w:cs="Times New Roman"/>
          <w:sz w:val="24"/>
          <w:szCs w:val="24"/>
        </w:rPr>
      </w:pPr>
    </w:p>
    <w:p w:rsidR="007D7C27"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865FE6">
        <w:rPr>
          <w:rFonts w:ascii="Times New Roman" w:hAnsi="Times New Roman" w:cs="Times New Roman"/>
          <w:sz w:val="24"/>
          <w:szCs w:val="24"/>
        </w:rPr>
        <w:t>II</w:t>
      </w:r>
      <w:r w:rsidRPr="004A12E3">
        <w:rPr>
          <w:rFonts w:ascii="Times New Roman" w:hAnsi="Times New Roman" w:cs="Times New Roman"/>
          <w:sz w:val="24"/>
          <w:szCs w:val="24"/>
        </w:rPr>
        <w:t>)</w:t>
      </w:r>
      <w:r w:rsidR="00865FE6">
        <w:rPr>
          <w:rFonts w:ascii="Times New Roman" w:hAnsi="Times New Roman" w:cs="Times New Roman"/>
          <w:sz w:val="24"/>
          <w:szCs w:val="24"/>
        </w:rPr>
        <w:t xml:space="preserve">- </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756CC2" w:rsidRDefault="00756CC2" w:rsidP="000679E5">
      <w:pPr>
        <w:spacing w:after="0" w:line="240" w:lineRule="auto"/>
        <w:jc w:val="both"/>
        <w:rPr>
          <w:rFonts w:ascii="Times New Roman" w:hAnsi="Times New Roman" w:cs="Times New Roman"/>
          <w:sz w:val="24"/>
          <w:szCs w:val="24"/>
        </w:rPr>
      </w:pPr>
    </w:p>
    <w:p w:rsidR="00756CC2" w:rsidRDefault="00756CC2" w:rsidP="000679E5">
      <w:pPr>
        <w:spacing w:after="0" w:line="240" w:lineRule="auto"/>
        <w:jc w:val="both"/>
        <w:rPr>
          <w:rFonts w:ascii="Times New Roman" w:hAnsi="Times New Roman" w:cs="Times New Roman"/>
          <w:sz w:val="24"/>
          <w:szCs w:val="24"/>
        </w:rPr>
      </w:pPr>
    </w:p>
    <w:p w:rsidR="00756CC2" w:rsidRPr="004A12E3" w:rsidRDefault="00756CC2" w:rsidP="000679E5">
      <w:pPr>
        <w:spacing w:after="0" w:line="240" w:lineRule="auto"/>
        <w:jc w:val="both"/>
        <w:rPr>
          <w:rFonts w:ascii="Times New Roman" w:hAnsi="Times New Roman" w:cs="Times New Roman"/>
          <w:sz w:val="24"/>
          <w:szCs w:val="24"/>
        </w:rPr>
      </w:pPr>
    </w:p>
    <w:p w:rsidR="000679E5" w:rsidRPr="004A12E3" w:rsidRDefault="000679E5" w:rsidP="000679E5">
      <w:pPr>
        <w:spacing w:after="0" w:line="240" w:lineRule="auto"/>
        <w:jc w:val="both"/>
        <w:rPr>
          <w:rFonts w:ascii="Times New Roman" w:hAnsi="Times New Roman" w:cs="Times New Roman"/>
          <w:sz w:val="24"/>
          <w:szCs w:val="24"/>
        </w:rPr>
      </w:pPr>
    </w:p>
    <w:p w:rsidR="00D80E07" w:rsidRPr="00F53DFA" w:rsidRDefault="00D80E07" w:rsidP="000679E5">
      <w:pPr>
        <w:spacing w:after="0" w:line="240" w:lineRule="auto"/>
        <w:jc w:val="right"/>
        <w:rPr>
          <w:rFonts w:ascii="Times New Roman" w:hAnsi="Times New Roman" w:cs="Times New Roman"/>
          <w:b/>
          <w:sz w:val="24"/>
          <w:szCs w:val="24"/>
        </w:rPr>
      </w:pPr>
      <w:r w:rsidRPr="00F53DFA">
        <w:rPr>
          <w:rFonts w:ascii="Times New Roman" w:hAnsi="Times New Roman" w:cs="Times New Roman"/>
          <w:b/>
          <w:sz w:val="24"/>
          <w:szCs w:val="24"/>
        </w:rPr>
        <w:t>DAVACI (TÜRK EĞİTİM SEN)</w:t>
      </w:r>
    </w:p>
    <w:p w:rsidR="00D80E07" w:rsidRPr="00F53DFA" w:rsidRDefault="00D80E07" w:rsidP="00D80E07">
      <w:pPr>
        <w:spacing w:after="0" w:line="240" w:lineRule="auto"/>
        <w:ind w:left="4956" w:firstLine="708"/>
        <w:jc w:val="center"/>
        <w:rPr>
          <w:rFonts w:ascii="Times New Roman" w:hAnsi="Times New Roman" w:cs="Times New Roman"/>
          <w:b/>
          <w:sz w:val="24"/>
          <w:szCs w:val="24"/>
        </w:rPr>
      </w:pPr>
      <w:r w:rsidRPr="00F53DFA">
        <w:rPr>
          <w:rFonts w:ascii="Times New Roman" w:hAnsi="Times New Roman" w:cs="Times New Roman"/>
          <w:b/>
          <w:sz w:val="24"/>
          <w:szCs w:val="24"/>
        </w:rPr>
        <w:t>VEKİLİ</w:t>
      </w:r>
    </w:p>
    <w:p w:rsidR="00F53DFA" w:rsidRDefault="00D80E07" w:rsidP="00865FE6">
      <w:pPr>
        <w:spacing w:after="0" w:line="240" w:lineRule="auto"/>
        <w:ind w:left="4956" w:firstLine="708"/>
        <w:jc w:val="center"/>
        <w:rPr>
          <w:rFonts w:ascii="Times New Roman" w:hAnsi="Times New Roman" w:cs="Times New Roman"/>
          <w:b/>
          <w:sz w:val="24"/>
          <w:szCs w:val="24"/>
        </w:rPr>
      </w:pPr>
      <w:r w:rsidRPr="00F53DFA">
        <w:rPr>
          <w:rFonts w:ascii="Times New Roman" w:hAnsi="Times New Roman" w:cs="Times New Roman"/>
          <w:b/>
          <w:sz w:val="24"/>
          <w:szCs w:val="24"/>
        </w:rPr>
        <w:t>AV. DİLEK ATAK</w:t>
      </w: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756CC2" w:rsidRDefault="00756CC2"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Default="00C766B3" w:rsidP="00865FE6">
      <w:pPr>
        <w:spacing w:after="0" w:line="240" w:lineRule="auto"/>
        <w:ind w:left="4956" w:firstLine="708"/>
        <w:jc w:val="center"/>
        <w:rPr>
          <w:rFonts w:ascii="Times New Roman" w:hAnsi="Times New Roman" w:cs="Times New Roman"/>
          <w:b/>
          <w:sz w:val="24"/>
          <w:szCs w:val="24"/>
        </w:rPr>
      </w:pPr>
    </w:p>
    <w:p w:rsidR="00C766B3" w:rsidRPr="00C766B3" w:rsidRDefault="00C766B3" w:rsidP="00865FE6">
      <w:pPr>
        <w:spacing w:after="0" w:line="240" w:lineRule="auto"/>
        <w:ind w:left="4956" w:firstLine="708"/>
        <w:jc w:val="center"/>
        <w:rPr>
          <w:rFonts w:ascii="Times New Roman" w:hAnsi="Times New Roman" w:cs="Times New Roman"/>
          <w:b/>
          <w:strike/>
          <w:sz w:val="24"/>
          <w:szCs w:val="24"/>
        </w:rPr>
      </w:pPr>
    </w:p>
    <w:p w:rsidR="00756CC2" w:rsidRDefault="00756CC2" w:rsidP="00865FE6">
      <w:pPr>
        <w:spacing w:after="0" w:line="240" w:lineRule="auto"/>
        <w:ind w:left="4956" w:firstLine="708"/>
        <w:jc w:val="center"/>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0679E5" w:rsidRPr="004A12E3" w:rsidRDefault="00D80E07" w:rsidP="007C2D8B">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E6" w:rsidRDefault="002A28E6" w:rsidP="00AA2039">
      <w:pPr>
        <w:spacing w:after="0" w:line="240" w:lineRule="auto"/>
      </w:pPr>
      <w:r>
        <w:separator/>
      </w:r>
    </w:p>
  </w:endnote>
  <w:endnote w:type="continuationSeparator" w:id="0">
    <w:p w:rsidR="002A28E6" w:rsidRDefault="002A28E6"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DE0D4F">
          <w:rPr>
            <w:noProof/>
          </w:rPr>
          <w:t>1</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E6" w:rsidRDefault="002A28E6" w:rsidP="00AA2039">
      <w:pPr>
        <w:spacing w:after="0" w:line="240" w:lineRule="auto"/>
      </w:pPr>
      <w:r>
        <w:separator/>
      </w:r>
    </w:p>
  </w:footnote>
  <w:footnote w:type="continuationSeparator" w:id="0">
    <w:p w:rsidR="002A28E6" w:rsidRDefault="002A28E6"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100F1"/>
    <w:rsid w:val="000150CB"/>
    <w:rsid w:val="000159A6"/>
    <w:rsid w:val="00020BDE"/>
    <w:rsid w:val="00024470"/>
    <w:rsid w:val="00025C95"/>
    <w:rsid w:val="00030A29"/>
    <w:rsid w:val="00031862"/>
    <w:rsid w:val="00041459"/>
    <w:rsid w:val="0006221A"/>
    <w:rsid w:val="000679E5"/>
    <w:rsid w:val="00073971"/>
    <w:rsid w:val="0007728A"/>
    <w:rsid w:val="000808B1"/>
    <w:rsid w:val="00084DA4"/>
    <w:rsid w:val="00094C75"/>
    <w:rsid w:val="00096966"/>
    <w:rsid w:val="000A6EE5"/>
    <w:rsid w:val="000B4CF5"/>
    <w:rsid w:val="000D1D12"/>
    <w:rsid w:val="000D454F"/>
    <w:rsid w:val="000E00CD"/>
    <w:rsid w:val="000E1C75"/>
    <w:rsid w:val="000E48E8"/>
    <w:rsid w:val="00127D11"/>
    <w:rsid w:val="001346BF"/>
    <w:rsid w:val="00150BD4"/>
    <w:rsid w:val="00150D03"/>
    <w:rsid w:val="00160737"/>
    <w:rsid w:val="00167BFF"/>
    <w:rsid w:val="001A2943"/>
    <w:rsid w:val="001B5EF1"/>
    <w:rsid w:val="00207266"/>
    <w:rsid w:val="0023336A"/>
    <w:rsid w:val="00236EDD"/>
    <w:rsid w:val="00253BBA"/>
    <w:rsid w:val="00277776"/>
    <w:rsid w:val="00282B38"/>
    <w:rsid w:val="00283D4E"/>
    <w:rsid w:val="00296DDC"/>
    <w:rsid w:val="002A0263"/>
    <w:rsid w:val="002A28E6"/>
    <w:rsid w:val="002B702A"/>
    <w:rsid w:val="002C177A"/>
    <w:rsid w:val="002F3F93"/>
    <w:rsid w:val="003026F7"/>
    <w:rsid w:val="003068F9"/>
    <w:rsid w:val="00311239"/>
    <w:rsid w:val="00346047"/>
    <w:rsid w:val="003610A1"/>
    <w:rsid w:val="003639B9"/>
    <w:rsid w:val="00370018"/>
    <w:rsid w:val="00371E67"/>
    <w:rsid w:val="00382409"/>
    <w:rsid w:val="003E283C"/>
    <w:rsid w:val="00402897"/>
    <w:rsid w:val="00403054"/>
    <w:rsid w:val="00414CC4"/>
    <w:rsid w:val="00416136"/>
    <w:rsid w:val="004344EF"/>
    <w:rsid w:val="0043679B"/>
    <w:rsid w:val="00441EDC"/>
    <w:rsid w:val="004435DD"/>
    <w:rsid w:val="00453920"/>
    <w:rsid w:val="004641F8"/>
    <w:rsid w:val="00475F61"/>
    <w:rsid w:val="004A12E3"/>
    <w:rsid w:val="004A23E2"/>
    <w:rsid w:val="004A7718"/>
    <w:rsid w:val="004B544C"/>
    <w:rsid w:val="004C3101"/>
    <w:rsid w:val="004C3198"/>
    <w:rsid w:val="004C65DB"/>
    <w:rsid w:val="00507787"/>
    <w:rsid w:val="0059360F"/>
    <w:rsid w:val="005B1002"/>
    <w:rsid w:val="005B771F"/>
    <w:rsid w:val="005D059C"/>
    <w:rsid w:val="005E45A0"/>
    <w:rsid w:val="005E4BEF"/>
    <w:rsid w:val="006009B6"/>
    <w:rsid w:val="00601E52"/>
    <w:rsid w:val="00616F9C"/>
    <w:rsid w:val="00653432"/>
    <w:rsid w:val="006536C6"/>
    <w:rsid w:val="0065655F"/>
    <w:rsid w:val="00662D28"/>
    <w:rsid w:val="0068075F"/>
    <w:rsid w:val="006C2A2D"/>
    <w:rsid w:val="006F0418"/>
    <w:rsid w:val="006F0FC8"/>
    <w:rsid w:val="00707128"/>
    <w:rsid w:val="0075134C"/>
    <w:rsid w:val="00756CC2"/>
    <w:rsid w:val="00757FCD"/>
    <w:rsid w:val="00765558"/>
    <w:rsid w:val="00777FEB"/>
    <w:rsid w:val="007806D8"/>
    <w:rsid w:val="007843D8"/>
    <w:rsid w:val="007858BC"/>
    <w:rsid w:val="007900F3"/>
    <w:rsid w:val="007932D0"/>
    <w:rsid w:val="00795B21"/>
    <w:rsid w:val="007C2D8B"/>
    <w:rsid w:val="007D7C27"/>
    <w:rsid w:val="007E0BF7"/>
    <w:rsid w:val="007F1889"/>
    <w:rsid w:val="007F5A58"/>
    <w:rsid w:val="0081105A"/>
    <w:rsid w:val="008250E4"/>
    <w:rsid w:val="0082727E"/>
    <w:rsid w:val="00835DA6"/>
    <w:rsid w:val="00842C78"/>
    <w:rsid w:val="00843C9C"/>
    <w:rsid w:val="00846514"/>
    <w:rsid w:val="008548C6"/>
    <w:rsid w:val="00862611"/>
    <w:rsid w:val="008639CF"/>
    <w:rsid w:val="00865FE6"/>
    <w:rsid w:val="0089740C"/>
    <w:rsid w:val="008B0DA3"/>
    <w:rsid w:val="008C1B3D"/>
    <w:rsid w:val="008D4BA4"/>
    <w:rsid w:val="008E533A"/>
    <w:rsid w:val="008F03BB"/>
    <w:rsid w:val="00914C48"/>
    <w:rsid w:val="00931CF9"/>
    <w:rsid w:val="00947B8E"/>
    <w:rsid w:val="009570CD"/>
    <w:rsid w:val="009603EC"/>
    <w:rsid w:val="00976292"/>
    <w:rsid w:val="0098185B"/>
    <w:rsid w:val="0099125C"/>
    <w:rsid w:val="009933C0"/>
    <w:rsid w:val="009A530A"/>
    <w:rsid w:val="009D102F"/>
    <w:rsid w:val="009D1631"/>
    <w:rsid w:val="009D7FD7"/>
    <w:rsid w:val="009F634E"/>
    <w:rsid w:val="00A01A15"/>
    <w:rsid w:val="00A02686"/>
    <w:rsid w:val="00A06262"/>
    <w:rsid w:val="00A275EA"/>
    <w:rsid w:val="00A34C4F"/>
    <w:rsid w:val="00A50450"/>
    <w:rsid w:val="00A73236"/>
    <w:rsid w:val="00A901CF"/>
    <w:rsid w:val="00AA2039"/>
    <w:rsid w:val="00AE0358"/>
    <w:rsid w:val="00B154CE"/>
    <w:rsid w:val="00B20064"/>
    <w:rsid w:val="00B42163"/>
    <w:rsid w:val="00B469C3"/>
    <w:rsid w:val="00B50DAC"/>
    <w:rsid w:val="00B5103A"/>
    <w:rsid w:val="00B52E2D"/>
    <w:rsid w:val="00B64F77"/>
    <w:rsid w:val="00B659D2"/>
    <w:rsid w:val="00B85E58"/>
    <w:rsid w:val="00B907F8"/>
    <w:rsid w:val="00BB68A6"/>
    <w:rsid w:val="00BC0ACC"/>
    <w:rsid w:val="00BD1F52"/>
    <w:rsid w:val="00BE2BB5"/>
    <w:rsid w:val="00BE438C"/>
    <w:rsid w:val="00BE4905"/>
    <w:rsid w:val="00BE5907"/>
    <w:rsid w:val="00BE76A8"/>
    <w:rsid w:val="00C007D6"/>
    <w:rsid w:val="00C06CD9"/>
    <w:rsid w:val="00C10DFF"/>
    <w:rsid w:val="00C231F7"/>
    <w:rsid w:val="00C30C98"/>
    <w:rsid w:val="00C54422"/>
    <w:rsid w:val="00C766B3"/>
    <w:rsid w:val="00C85B1B"/>
    <w:rsid w:val="00CA0FAC"/>
    <w:rsid w:val="00CC0F8D"/>
    <w:rsid w:val="00CE2467"/>
    <w:rsid w:val="00D10606"/>
    <w:rsid w:val="00D24BC5"/>
    <w:rsid w:val="00D270A5"/>
    <w:rsid w:val="00D30762"/>
    <w:rsid w:val="00D34077"/>
    <w:rsid w:val="00D41684"/>
    <w:rsid w:val="00D536DA"/>
    <w:rsid w:val="00D62557"/>
    <w:rsid w:val="00D64920"/>
    <w:rsid w:val="00D65DCD"/>
    <w:rsid w:val="00D72F05"/>
    <w:rsid w:val="00D73D5F"/>
    <w:rsid w:val="00D80E07"/>
    <w:rsid w:val="00D92BA2"/>
    <w:rsid w:val="00D96059"/>
    <w:rsid w:val="00DA1EC8"/>
    <w:rsid w:val="00DA383F"/>
    <w:rsid w:val="00DA6D88"/>
    <w:rsid w:val="00DB45FB"/>
    <w:rsid w:val="00DD3304"/>
    <w:rsid w:val="00DE0D4F"/>
    <w:rsid w:val="00DF63A7"/>
    <w:rsid w:val="00E05615"/>
    <w:rsid w:val="00E1360A"/>
    <w:rsid w:val="00E22FF0"/>
    <w:rsid w:val="00E23631"/>
    <w:rsid w:val="00E32823"/>
    <w:rsid w:val="00E36828"/>
    <w:rsid w:val="00E64226"/>
    <w:rsid w:val="00E80A9A"/>
    <w:rsid w:val="00E86CEB"/>
    <w:rsid w:val="00EA4CC5"/>
    <w:rsid w:val="00EA7609"/>
    <w:rsid w:val="00EB49B7"/>
    <w:rsid w:val="00EB5BBE"/>
    <w:rsid w:val="00EC27CB"/>
    <w:rsid w:val="00EC47D0"/>
    <w:rsid w:val="00ED2153"/>
    <w:rsid w:val="00EE5C8F"/>
    <w:rsid w:val="00F15BB2"/>
    <w:rsid w:val="00F15C60"/>
    <w:rsid w:val="00F34021"/>
    <w:rsid w:val="00F45931"/>
    <w:rsid w:val="00F53DFA"/>
    <w:rsid w:val="00F6177E"/>
    <w:rsid w:val="00F72640"/>
    <w:rsid w:val="00F729BD"/>
    <w:rsid w:val="00F73474"/>
    <w:rsid w:val="00F75119"/>
    <w:rsid w:val="00F86E67"/>
    <w:rsid w:val="00FA1ECE"/>
    <w:rsid w:val="00FB712B"/>
    <w:rsid w:val="00FC48C1"/>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0578-2561-4828-867A-BA4E78AE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2921</Words>
  <Characters>16654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11</cp:revision>
  <cp:lastPrinted>2018-08-15T14:04:00Z</cp:lastPrinted>
  <dcterms:created xsi:type="dcterms:W3CDTF">2018-08-01T11:48:00Z</dcterms:created>
  <dcterms:modified xsi:type="dcterms:W3CDTF">2018-08-15T14:46:00Z</dcterms:modified>
</cp:coreProperties>
</file>